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6AB47">
      <w:pPr>
        <w:bidi w:val="0"/>
        <w:rPr>
          <w:rFonts w:hint="eastAsia"/>
        </w:rPr>
      </w:pPr>
    </w:p>
    <w:p w14:paraId="2EB0FF4A">
      <w:pPr>
        <w:bidi w:val="0"/>
        <w:ind w:left="0" w:leftChars="0" w:firstLine="0" w:firstLineChars="0"/>
        <w:jc w:val="center"/>
        <w:rPr>
          <w:rFonts w:hint="eastAsia"/>
          <w:b/>
          <w:bCs/>
          <w:sz w:val="44"/>
          <w:szCs w:val="44"/>
        </w:rPr>
      </w:pPr>
      <w:r>
        <w:rPr>
          <w:rFonts w:hint="eastAsia"/>
          <w:b/>
          <w:bCs/>
          <w:sz w:val="44"/>
          <w:szCs w:val="44"/>
        </w:rPr>
        <w:t>“技能强柳 匠心铸梦”</w:t>
      </w:r>
    </w:p>
    <w:p w14:paraId="1330EA43">
      <w:pPr>
        <w:bidi w:val="0"/>
        <w:ind w:left="0" w:leftChars="0" w:firstLine="0" w:firstLineChars="0"/>
        <w:jc w:val="center"/>
        <w:rPr>
          <w:rFonts w:hint="eastAsia"/>
          <w:b/>
          <w:bCs/>
          <w:sz w:val="44"/>
          <w:szCs w:val="44"/>
        </w:rPr>
      </w:pPr>
      <w:r>
        <w:rPr>
          <w:rFonts w:hint="eastAsia"/>
          <w:b/>
          <w:bCs/>
          <w:sz w:val="44"/>
          <w:szCs w:val="44"/>
        </w:rPr>
        <w:t>2026年</w:t>
      </w:r>
      <w:r>
        <w:rPr>
          <w:rFonts w:hint="eastAsia"/>
          <w:b/>
          <w:bCs/>
          <w:sz w:val="44"/>
          <w:szCs w:val="44"/>
          <w:lang w:val="en-US" w:eastAsia="zh-CN"/>
        </w:rPr>
        <w:t>柳州市</w:t>
      </w:r>
      <w:r>
        <w:rPr>
          <w:rFonts w:hint="eastAsia"/>
          <w:b/>
          <w:bCs/>
          <w:sz w:val="44"/>
          <w:szCs w:val="44"/>
        </w:rPr>
        <w:t>职工职业技能大赛</w:t>
      </w:r>
    </w:p>
    <w:p w14:paraId="6C4391EC">
      <w:pPr>
        <w:bidi w:val="0"/>
        <w:ind w:left="0" w:leftChars="0" w:firstLine="0" w:firstLineChars="0"/>
        <w:jc w:val="center"/>
        <w:rPr>
          <w:rFonts w:hint="eastAsia"/>
          <w:b/>
          <w:bCs/>
          <w:sz w:val="44"/>
          <w:szCs w:val="44"/>
        </w:rPr>
      </w:pPr>
      <w:r>
        <w:rPr>
          <w:rFonts w:hint="eastAsia"/>
          <w:b/>
          <w:bCs/>
          <w:sz w:val="44"/>
          <w:szCs w:val="44"/>
          <w:lang w:val="en-US" w:eastAsia="zh-CN"/>
        </w:rPr>
        <w:t>人工智能工程技术人员S</w:t>
      </w:r>
      <w:r>
        <w:rPr>
          <w:rFonts w:hint="eastAsia"/>
          <w:b/>
          <w:bCs/>
          <w:sz w:val="44"/>
          <w:szCs w:val="44"/>
        </w:rPr>
        <w:t>赛项</w:t>
      </w:r>
    </w:p>
    <w:p w14:paraId="0C467C54">
      <w:pPr>
        <w:bidi w:val="0"/>
        <w:jc w:val="center"/>
        <w:rPr>
          <w:rFonts w:hint="default"/>
          <w:lang w:eastAsia="zh-CN"/>
        </w:rPr>
      </w:pPr>
    </w:p>
    <w:p w14:paraId="531D1D90">
      <w:pPr>
        <w:bidi w:val="0"/>
        <w:jc w:val="center"/>
        <w:rPr>
          <w:rFonts w:hint="default"/>
        </w:rPr>
      </w:pPr>
    </w:p>
    <w:p w14:paraId="42546AAC">
      <w:pPr>
        <w:bidi w:val="0"/>
        <w:ind w:left="0" w:leftChars="0" w:firstLine="0" w:firstLineChars="0"/>
        <w:jc w:val="center"/>
        <w:rPr>
          <w:rFonts w:hint="default"/>
          <w:b/>
          <w:bCs/>
          <w:sz w:val="44"/>
          <w:szCs w:val="44"/>
        </w:rPr>
      </w:pPr>
      <w:r>
        <w:rPr>
          <w:rFonts w:hint="default"/>
          <w:b/>
          <w:bCs/>
          <w:sz w:val="44"/>
          <w:szCs w:val="44"/>
        </w:rPr>
        <w:t>技</w:t>
      </w:r>
    </w:p>
    <w:p w14:paraId="79A76CC6">
      <w:pPr>
        <w:bidi w:val="0"/>
        <w:jc w:val="center"/>
        <w:rPr>
          <w:rFonts w:hint="default"/>
          <w:b/>
          <w:bCs/>
          <w:sz w:val="44"/>
          <w:szCs w:val="44"/>
        </w:rPr>
      </w:pPr>
    </w:p>
    <w:p w14:paraId="6303B5A5">
      <w:pPr>
        <w:bidi w:val="0"/>
        <w:ind w:left="0" w:leftChars="0" w:firstLine="0" w:firstLineChars="0"/>
        <w:jc w:val="center"/>
        <w:rPr>
          <w:rFonts w:hint="default"/>
          <w:b/>
          <w:bCs/>
          <w:sz w:val="44"/>
          <w:szCs w:val="44"/>
        </w:rPr>
      </w:pPr>
      <w:r>
        <w:rPr>
          <w:rFonts w:hint="default"/>
          <w:b/>
          <w:bCs/>
          <w:sz w:val="44"/>
          <w:szCs w:val="44"/>
        </w:rPr>
        <w:t>术</w:t>
      </w:r>
    </w:p>
    <w:p w14:paraId="2FDED78E">
      <w:pPr>
        <w:bidi w:val="0"/>
        <w:jc w:val="center"/>
        <w:rPr>
          <w:rFonts w:hint="default"/>
          <w:b/>
          <w:bCs/>
          <w:sz w:val="44"/>
          <w:szCs w:val="44"/>
        </w:rPr>
      </w:pPr>
    </w:p>
    <w:p w14:paraId="5757A7AE">
      <w:pPr>
        <w:bidi w:val="0"/>
        <w:ind w:left="0" w:leftChars="0" w:firstLine="0" w:firstLineChars="0"/>
        <w:jc w:val="center"/>
        <w:rPr>
          <w:rFonts w:hint="default"/>
          <w:b/>
          <w:bCs/>
          <w:sz w:val="44"/>
          <w:szCs w:val="44"/>
        </w:rPr>
      </w:pPr>
      <w:r>
        <w:rPr>
          <w:rFonts w:hint="default"/>
          <w:b/>
          <w:bCs/>
          <w:sz w:val="44"/>
          <w:szCs w:val="44"/>
        </w:rPr>
        <w:t>文</w:t>
      </w:r>
    </w:p>
    <w:p w14:paraId="174D9D35">
      <w:pPr>
        <w:bidi w:val="0"/>
        <w:jc w:val="center"/>
        <w:rPr>
          <w:rFonts w:hint="default"/>
          <w:b/>
          <w:bCs/>
          <w:sz w:val="44"/>
          <w:szCs w:val="44"/>
        </w:rPr>
      </w:pPr>
    </w:p>
    <w:p w14:paraId="386186B5">
      <w:pPr>
        <w:bidi w:val="0"/>
        <w:ind w:left="0" w:leftChars="0" w:firstLine="0" w:firstLineChars="0"/>
        <w:jc w:val="center"/>
        <w:rPr>
          <w:rFonts w:hint="default"/>
          <w:b/>
          <w:bCs/>
          <w:sz w:val="44"/>
          <w:szCs w:val="44"/>
        </w:rPr>
      </w:pPr>
      <w:r>
        <w:rPr>
          <w:rFonts w:hint="default"/>
          <w:b/>
          <w:bCs/>
          <w:sz w:val="44"/>
          <w:szCs w:val="44"/>
        </w:rPr>
        <w:t>件</w:t>
      </w:r>
    </w:p>
    <w:p w14:paraId="0281030A">
      <w:pPr>
        <w:bidi w:val="0"/>
        <w:jc w:val="center"/>
        <w:rPr>
          <w:rFonts w:hint="default"/>
        </w:rPr>
      </w:pPr>
    </w:p>
    <w:p w14:paraId="44A1D524">
      <w:pPr>
        <w:bidi w:val="0"/>
        <w:jc w:val="center"/>
        <w:rPr>
          <w:rFonts w:hint="default"/>
        </w:rPr>
      </w:pPr>
    </w:p>
    <w:p w14:paraId="61AD38A4">
      <w:pPr>
        <w:bidi w:val="0"/>
        <w:jc w:val="center"/>
        <w:rPr>
          <w:rFonts w:hint="default"/>
          <w:lang w:val="en-US" w:eastAsia="zh-CN"/>
        </w:rPr>
      </w:pPr>
    </w:p>
    <w:p w14:paraId="39631553">
      <w:pPr>
        <w:bidi w:val="0"/>
        <w:ind w:left="0" w:leftChars="0" w:firstLine="0" w:firstLineChars="0"/>
        <w:jc w:val="center"/>
        <w:rPr>
          <w:rFonts w:hint="default"/>
          <w:b/>
          <w:bCs/>
          <w:sz w:val="30"/>
          <w:szCs w:val="30"/>
          <w:lang w:val="en-AU"/>
        </w:rPr>
      </w:pPr>
      <w:r>
        <w:rPr>
          <w:rFonts w:hint="default"/>
          <w:b/>
          <w:bCs/>
          <w:sz w:val="30"/>
          <w:szCs w:val="30"/>
          <w:lang w:val="en-AU"/>
        </w:rPr>
        <w:t>柳州市职工职业技能大赛组委会技术工作组</w:t>
      </w:r>
    </w:p>
    <w:p w14:paraId="38F2ED23">
      <w:pPr>
        <w:bidi w:val="0"/>
        <w:ind w:left="0" w:leftChars="0" w:firstLine="0" w:firstLineChars="0"/>
        <w:jc w:val="center"/>
        <w:rPr>
          <w:b/>
          <w:bCs/>
          <w:sz w:val="30"/>
          <w:szCs w:val="30"/>
          <w:lang w:eastAsia="zh-CN"/>
        </w:rPr>
        <w:sectPr>
          <w:pgSz w:w="11906" w:h="16838"/>
          <w:pgMar w:top="1418" w:right="1134" w:bottom="1418" w:left="1701" w:header="851" w:footer="992" w:gutter="0"/>
          <w:pgNumType w:fmt="numberInDash"/>
          <w:cols w:space="425" w:num="1"/>
          <w:docGrid w:type="lines" w:linePitch="312" w:charSpace="0"/>
        </w:sectPr>
      </w:pPr>
      <w:r>
        <w:rPr>
          <w:rFonts w:hint="default"/>
          <w:b/>
          <w:bCs/>
          <w:sz w:val="30"/>
          <w:szCs w:val="30"/>
          <w:lang w:val="en-AU"/>
        </w:rPr>
        <w:t>2026年9月</w:t>
      </w:r>
    </w:p>
    <w:sdt>
      <w:sdtPr>
        <w:rPr>
          <w:rFonts w:hint="eastAsia"/>
          <w:b/>
          <w:bCs/>
          <w:sz w:val="44"/>
          <w:szCs w:val="44"/>
          <w:lang w:val="en-US" w:eastAsia="en-US"/>
        </w:rPr>
        <w:id w:val="147460865"/>
        <w15:color w:val="DBDBDB"/>
        <w:docPartObj>
          <w:docPartGallery w:val="Table of Contents"/>
          <w:docPartUnique/>
        </w:docPartObj>
      </w:sdtPr>
      <w:sdtEndPr>
        <w:rPr>
          <w:rFonts w:hint="eastAsia"/>
          <w:b/>
          <w:bCs/>
          <w:sz w:val="44"/>
          <w:szCs w:val="44"/>
          <w:lang w:val="en-US" w:eastAsia="zh-CN"/>
        </w:rPr>
      </w:sdtEndPr>
      <w:sdtContent>
        <w:p w14:paraId="1FF98B9D">
          <w:pPr>
            <w:bidi w:val="0"/>
            <w:jc w:val="center"/>
            <w:rPr>
              <w:rFonts w:hint="eastAsia"/>
              <w:b/>
              <w:bCs/>
              <w:sz w:val="44"/>
              <w:szCs w:val="44"/>
            </w:rPr>
          </w:pPr>
          <w:r>
            <w:rPr>
              <w:rFonts w:hint="eastAsia"/>
              <w:b/>
              <w:bCs/>
              <w:sz w:val="44"/>
              <w:szCs w:val="44"/>
            </w:rPr>
            <w:t>目</w:t>
          </w:r>
          <w:r>
            <w:rPr>
              <w:rFonts w:hint="eastAsia"/>
              <w:b/>
              <w:bCs/>
              <w:sz w:val="44"/>
              <w:szCs w:val="44"/>
              <w:lang w:val="en-US" w:eastAsia="zh-CN"/>
            </w:rPr>
            <w:t xml:space="preserve">  </w:t>
          </w:r>
          <w:r>
            <w:rPr>
              <w:rFonts w:hint="eastAsia"/>
              <w:b/>
              <w:bCs/>
              <w:sz w:val="44"/>
              <w:szCs w:val="44"/>
            </w:rPr>
            <w:t>录</w:t>
          </w:r>
        </w:p>
        <w:p w14:paraId="7201CE47">
          <w:pPr>
            <w:pStyle w:val="13"/>
            <w:tabs>
              <w:tab w:val="right" w:leader="dot" w:pos="9071"/>
            </w:tabs>
            <w:spacing w:line="240" w:lineRule="auto"/>
          </w:pPr>
          <w:r>
            <w:rPr>
              <w:rFonts w:hint="eastAsia" w:ascii="黑体" w:hAnsi="黑体" w:eastAsia="黑体" w:cs="Times New Roman"/>
              <w:color w:val="000000" w:themeColor="text1"/>
              <w:kern w:val="2"/>
              <w:sz w:val="30"/>
              <w:szCs w:val="30"/>
              <w:lang w:val="en-US" w:eastAsia="zh-CN" w:bidi="ar-SA"/>
              <w14:textFill>
                <w14:solidFill>
                  <w14:schemeClr w14:val="tx1"/>
                </w14:solidFill>
              </w14:textFill>
            </w:rPr>
            <w:fldChar w:fldCharType="begin"/>
          </w:r>
          <w:r>
            <w:rPr>
              <w:rFonts w:hint="eastAsia" w:ascii="黑体" w:hAnsi="黑体" w:eastAsia="黑体" w:cs="Times New Roman"/>
              <w:color w:val="000000" w:themeColor="text1"/>
              <w:kern w:val="2"/>
              <w:sz w:val="30"/>
              <w:szCs w:val="30"/>
              <w:lang w:val="en-US" w:eastAsia="zh-CN" w:bidi="ar-SA"/>
              <w14:textFill>
                <w14:solidFill>
                  <w14:schemeClr w14:val="tx1"/>
                </w14:solidFill>
              </w14:textFill>
            </w:rPr>
            <w:instrText xml:space="preserve">TOC \o "1-3" \h \u </w:instrText>
          </w:r>
          <w:r>
            <w:rPr>
              <w:rFonts w:hint="eastAsia" w:ascii="黑体" w:hAnsi="黑体" w:eastAsia="黑体" w:cs="Times New Roman"/>
              <w:color w:val="000000" w:themeColor="text1"/>
              <w:kern w:val="2"/>
              <w:sz w:val="30"/>
              <w:szCs w:val="30"/>
              <w:lang w:val="en-US" w:eastAsia="zh-CN" w:bidi="ar-SA"/>
              <w14:textFill>
                <w14:solidFill>
                  <w14:schemeClr w14:val="tx1"/>
                </w14:solidFill>
              </w14:textFill>
            </w:rPr>
            <w:fldChar w:fldCharType="separate"/>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_Toc21241 </w:instrText>
          </w:r>
          <w:r>
            <w:rPr>
              <w:rFonts w:hint="eastAsia" w:ascii="黑体" w:hAnsi="黑体" w:eastAsia="黑体" w:cs="Times New Roman"/>
              <w:kern w:val="2"/>
              <w:szCs w:val="30"/>
              <w:lang w:val="en-US" w:eastAsia="zh-CN" w:bidi="ar-SA"/>
            </w:rPr>
            <w:fldChar w:fldCharType="separate"/>
          </w:r>
          <w:r>
            <w:rPr>
              <w:rFonts w:hint="eastAsia"/>
              <w:lang w:eastAsia="zh-CN"/>
            </w:rPr>
            <w:t>一、赛项描述</w:t>
          </w:r>
          <w:r>
            <w:tab/>
          </w:r>
          <w:r>
            <w:fldChar w:fldCharType="begin"/>
          </w:r>
          <w:r>
            <w:instrText xml:space="preserve"> PAGEREF _Toc21241 \h </w:instrText>
          </w:r>
          <w:r>
            <w:fldChar w:fldCharType="separate"/>
          </w:r>
          <w:r>
            <w:t>- 1 -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99A669F">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_Toc23807 </w:instrText>
          </w:r>
          <w:r>
            <w:rPr>
              <w:rFonts w:hint="eastAsia" w:ascii="黑体" w:hAnsi="黑体" w:eastAsia="黑体" w:cs="Times New Roman"/>
              <w:kern w:val="2"/>
              <w:szCs w:val="30"/>
              <w:lang w:val="en-US" w:eastAsia="zh-CN" w:bidi="ar-SA"/>
            </w:rPr>
            <w:fldChar w:fldCharType="separate"/>
          </w:r>
          <w:r>
            <w:rPr>
              <w:rFonts w:hint="default"/>
              <w:lang w:eastAsia="zh-CN"/>
            </w:rPr>
            <w:t xml:space="preserve">1 </w:t>
          </w:r>
          <w:r>
            <w:rPr>
              <w:rFonts w:hint="eastAsia"/>
              <w:lang w:val="en-US" w:eastAsia="zh-CN"/>
            </w:rPr>
            <w:t>.1</w:t>
          </w:r>
          <w:r>
            <w:rPr>
              <w:rFonts w:hint="default"/>
              <w:lang w:val="en-US" w:eastAsia="zh-CN"/>
            </w:rPr>
            <w:t>项目概要</w:t>
          </w:r>
          <w:r>
            <w:tab/>
          </w:r>
          <w:r>
            <w:fldChar w:fldCharType="begin"/>
          </w:r>
          <w:r>
            <w:instrText xml:space="preserve"> PAGEREF _Toc23807 \h </w:instrText>
          </w:r>
          <w:r>
            <w:fldChar w:fldCharType="separate"/>
          </w:r>
          <w:r>
            <w:t>- 1 -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66728D8D">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_Toc29805 </w:instrText>
          </w:r>
          <w:r>
            <w:rPr>
              <w:rFonts w:hint="eastAsia" w:ascii="黑体" w:hAnsi="黑体" w:eastAsia="黑体" w:cs="Times New Roman"/>
              <w:kern w:val="2"/>
              <w:szCs w:val="30"/>
              <w:lang w:val="en-US" w:eastAsia="zh-CN" w:bidi="ar-SA"/>
            </w:rPr>
            <w:fldChar w:fldCharType="separate"/>
          </w:r>
          <w:r>
            <w:rPr>
              <w:rFonts w:hint="default"/>
              <w:lang w:eastAsia="zh-CN"/>
            </w:rPr>
            <w:t>1.2 技术能力要求</w:t>
          </w:r>
          <w:r>
            <w:tab/>
          </w:r>
          <w:r>
            <w:fldChar w:fldCharType="begin"/>
          </w:r>
          <w:r>
            <w:instrText xml:space="preserve"> PAGEREF _Toc29805 \h </w:instrText>
          </w:r>
          <w:r>
            <w:fldChar w:fldCharType="separate"/>
          </w:r>
          <w:r>
            <w:t>- 1 -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6C18090">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_Toc16209 </w:instrText>
          </w:r>
          <w:r>
            <w:rPr>
              <w:rFonts w:hint="eastAsia" w:ascii="黑体" w:hAnsi="黑体" w:eastAsia="黑体" w:cs="Times New Roman"/>
              <w:kern w:val="2"/>
              <w:szCs w:val="30"/>
              <w:lang w:val="en-US" w:eastAsia="zh-CN" w:bidi="ar-SA"/>
            </w:rPr>
            <w:fldChar w:fldCharType="separate"/>
          </w:r>
          <w:r>
            <w:rPr>
              <w:rFonts w:hint="default"/>
              <w:lang w:eastAsia="zh-CN"/>
            </w:rPr>
            <w:t>1.</w:t>
          </w:r>
          <w:r>
            <w:rPr>
              <w:rFonts w:hint="default"/>
              <w:lang w:val="en-US" w:eastAsia="zh-CN"/>
            </w:rPr>
            <w:t>3</w:t>
          </w:r>
          <w:r>
            <w:rPr>
              <w:rFonts w:hint="default"/>
              <w:lang w:eastAsia="zh-CN"/>
            </w:rPr>
            <w:t xml:space="preserve"> 赛项组织形式</w:t>
          </w:r>
          <w:r>
            <w:tab/>
          </w:r>
          <w:r>
            <w:fldChar w:fldCharType="begin"/>
          </w:r>
          <w:r>
            <w:instrText xml:space="preserve"> PAGEREF _Toc16209 \h </w:instrText>
          </w:r>
          <w:r>
            <w:fldChar w:fldCharType="separate"/>
          </w:r>
          <w:r>
            <w:t>- 2 -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726A0888">
          <w:pPr>
            <w:pStyle w:val="13"/>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_Toc22028 </w:instrText>
          </w:r>
          <w:r>
            <w:rPr>
              <w:rFonts w:hint="eastAsia" w:ascii="黑体" w:hAnsi="黑体" w:eastAsia="黑体" w:cs="Times New Roman"/>
              <w:kern w:val="2"/>
              <w:szCs w:val="30"/>
              <w:lang w:val="en-US" w:eastAsia="zh-CN" w:bidi="ar-SA"/>
            </w:rPr>
            <w:fldChar w:fldCharType="separate"/>
          </w:r>
          <w:r>
            <w:rPr>
              <w:rFonts w:hint="eastAsia"/>
              <w:lang w:val="en-US" w:eastAsia="zh-CN"/>
            </w:rPr>
            <w:t>二、</w:t>
          </w:r>
          <w:r>
            <w:rPr>
              <w:rFonts w:hint="default"/>
              <w:lang w:eastAsia="zh-CN"/>
            </w:rPr>
            <w:t xml:space="preserve"> 竞赛题目</w:t>
          </w:r>
          <w:r>
            <w:tab/>
          </w:r>
          <w:r>
            <w:fldChar w:fldCharType="begin"/>
          </w:r>
          <w:r>
            <w:instrText xml:space="preserve"> PAGEREF _Toc22028 \h </w:instrText>
          </w:r>
          <w:r>
            <w:fldChar w:fldCharType="separate"/>
          </w:r>
          <w:r>
            <w:t>- 3 -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5AF52CEC">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_Toc27353 </w:instrText>
          </w:r>
          <w:r>
            <w:rPr>
              <w:rFonts w:hint="eastAsia" w:ascii="黑体" w:hAnsi="黑体" w:eastAsia="黑体" w:cs="Times New Roman"/>
              <w:kern w:val="2"/>
              <w:szCs w:val="30"/>
              <w:lang w:val="en-US" w:eastAsia="zh-CN" w:bidi="ar-SA"/>
            </w:rPr>
            <w:fldChar w:fldCharType="separate"/>
          </w:r>
          <w:r>
            <w:rPr>
              <w:rFonts w:hint="default"/>
              <w:lang w:eastAsia="zh-CN"/>
            </w:rPr>
            <w:t>2.1 竞赛形式</w:t>
          </w:r>
          <w:r>
            <w:tab/>
          </w:r>
          <w:r>
            <w:fldChar w:fldCharType="begin"/>
          </w:r>
          <w:r>
            <w:instrText xml:space="preserve"> PAGEREF _Toc27353 \h </w:instrText>
          </w:r>
          <w:r>
            <w:fldChar w:fldCharType="separate"/>
          </w:r>
          <w:r>
            <w:t>- 3 -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443C776">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_Toc9193 </w:instrText>
          </w:r>
          <w:r>
            <w:rPr>
              <w:rFonts w:hint="eastAsia" w:ascii="黑体" w:hAnsi="黑体" w:eastAsia="黑体" w:cs="Times New Roman"/>
              <w:kern w:val="2"/>
              <w:szCs w:val="30"/>
              <w:lang w:val="en-US" w:eastAsia="zh-CN" w:bidi="ar-SA"/>
            </w:rPr>
            <w:fldChar w:fldCharType="separate"/>
          </w:r>
          <w:r>
            <w:rPr>
              <w:rFonts w:hint="default"/>
              <w:lang w:eastAsia="zh-CN"/>
            </w:rPr>
            <w:t>2.</w:t>
          </w:r>
          <w:r>
            <w:rPr>
              <w:rFonts w:hint="eastAsia"/>
              <w:lang w:val="en-US" w:eastAsia="zh-CN"/>
            </w:rPr>
            <w:t>2</w:t>
          </w:r>
          <w:r>
            <w:rPr>
              <w:rFonts w:hint="default"/>
              <w:lang w:eastAsia="zh-CN"/>
            </w:rPr>
            <w:t xml:space="preserve"> </w:t>
          </w:r>
          <w:r>
            <w:rPr>
              <w:rFonts w:hint="default"/>
              <w:lang w:val="en-US" w:eastAsia="zh-CN"/>
            </w:rPr>
            <w:t>竞赛</w:t>
          </w:r>
          <w:r>
            <w:rPr>
              <w:rFonts w:hint="default"/>
              <w:lang w:eastAsia="zh-CN"/>
            </w:rPr>
            <w:t>内容</w:t>
          </w:r>
          <w:r>
            <w:tab/>
          </w:r>
          <w:r>
            <w:fldChar w:fldCharType="begin"/>
          </w:r>
          <w:r>
            <w:instrText xml:space="preserve"> PAGEREF _Toc9193 \h </w:instrText>
          </w:r>
          <w:r>
            <w:fldChar w:fldCharType="separate"/>
          </w:r>
          <w:r>
            <w:t>- 3 -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5A1F975">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_Toc19205 </w:instrText>
          </w:r>
          <w:r>
            <w:rPr>
              <w:rFonts w:hint="eastAsia" w:ascii="黑体" w:hAnsi="黑体" w:eastAsia="黑体" w:cs="Times New Roman"/>
              <w:kern w:val="2"/>
              <w:szCs w:val="30"/>
              <w:lang w:val="en-US" w:eastAsia="zh-CN" w:bidi="ar-SA"/>
            </w:rPr>
            <w:fldChar w:fldCharType="separate"/>
          </w:r>
          <w:r>
            <w:rPr>
              <w:rFonts w:hint="default" w:ascii="Times New Roman" w:hAnsi="Times New Roman"/>
              <w:lang w:val="en-US" w:eastAsia="zh-CN"/>
            </w:rPr>
            <w:t>2.</w:t>
          </w:r>
          <w:r>
            <w:rPr>
              <w:rFonts w:hint="eastAsia" w:ascii="Times New Roman" w:hAnsi="Times New Roman"/>
              <w:lang w:val="en-US" w:eastAsia="zh-CN"/>
            </w:rPr>
            <w:t>3</w:t>
          </w:r>
          <w:r>
            <w:rPr>
              <w:rFonts w:hint="default" w:ascii="Times New Roman" w:hAnsi="Times New Roman"/>
              <w:lang w:val="en-US" w:eastAsia="zh-CN"/>
            </w:rPr>
            <w:t xml:space="preserve"> 竞赛</w:t>
          </w:r>
          <w:r>
            <w:rPr>
              <w:rFonts w:hint="eastAsia" w:ascii="Times New Roman" w:hAnsi="Times New Roman"/>
              <w:lang w:val="en-US" w:eastAsia="zh-CN"/>
            </w:rPr>
            <w:t>部分样题</w:t>
          </w:r>
          <w:r>
            <w:tab/>
          </w:r>
          <w:r>
            <w:fldChar w:fldCharType="begin"/>
          </w:r>
          <w:r>
            <w:instrText xml:space="preserve"> PAGEREF _Toc19205 \h </w:instrText>
          </w:r>
          <w:r>
            <w:fldChar w:fldCharType="separate"/>
          </w:r>
          <w:r>
            <w:t>- 4 -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2BEE8B91">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_Toc29883 </w:instrText>
          </w:r>
          <w:r>
            <w:rPr>
              <w:rFonts w:hint="eastAsia" w:ascii="黑体" w:hAnsi="黑体" w:eastAsia="黑体" w:cs="Times New Roman"/>
              <w:kern w:val="2"/>
              <w:szCs w:val="30"/>
              <w:lang w:val="en-US" w:eastAsia="zh-CN" w:bidi="ar-SA"/>
            </w:rPr>
            <w:fldChar w:fldCharType="separate"/>
          </w:r>
          <w:r>
            <w:rPr>
              <w:rFonts w:hint="eastAsia"/>
              <w:lang w:val="en-US" w:eastAsia="zh-CN"/>
            </w:rPr>
            <w:t>2.3.1 理论考核</w:t>
          </w:r>
          <w:r>
            <w:tab/>
          </w:r>
          <w:r>
            <w:fldChar w:fldCharType="begin"/>
          </w:r>
          <w:r>
            <w:instrText xml:space="preserve"> PAGEREF _Toc29883 \h </w:instrText>
          </w:r>
          <w:r>
            <w:fldChar w:fldCharType="separate"/>
          </w:r>
          <w:r>
            <w:t>- 4 -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7DC3CF41">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_Toc6314 </w:instrText>
          </w:r>
          <w:r>
            <w:rPr>
              <w:rFonts w:hint="eastAsia" w:ascii="黑体" w:hAnsi="黑体" w:eastAsia="黑体" w:cs="Times New Roman"/>
              <w:kern w:val="2"/>
              <w:szCs w:val="30"/>
              <w:lang w:val="en-US" w:eastAsia="zh-CN" w:bidi="ar-SA"/>
            </w:rPr>
            <w:fldChar w:fldCharType="separate"/>
          </w:r>
          <w:r>
            <w:rPr>
              <w:rFonts w:hint="eastAsia"/>
              <w:lang w:val="en-US" w:eastAsia="zh-CN"/>
            </w:rPr>
            <w:t>2.3.2 实际操作考核</w:t>
          </w:r>
          <w:r>
            <w:tab/>
          </w:r>
          <w:r>
            <w:fldChar w:fldCharType="begin"/>
          </w:r>
          <w:r>
            <w:instrText xml:space="preserve"> PAGEREF _Toc6314 \h </w:instrText>
          </w:r>
          <w:r>
            <w:fldChar w:fldCharType="separate"/>
          </w:r>
          <w:r>
            <w:t>- 4 -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210103D5">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_Toc3861 </w:instrText>
          </w:r>
          <w:r>
            <w:rPr>
              <w:rFonts w:hint="eastAsia" w:ascii="黑体" w:hAnsi="黑体" w:eastAsia="黑体" w:cs="Times New Roman"/>
              <w:kern w:val="2"/>
              <w:szCs w:val="30"/>
              <w:lang w:val="en-US" w:eastAsia="zh-CN" w:bidi="ar-SA"/>
            </w:rPr>
            <w:fldChar w:fldCharType="separate"/>
          </w:r>
          <w:r>
            <w:rPr>
              <w:rFonts w:hint="default"/>
              <w:lang w:eastAsia="zh-CN"/>
            </w:rPr>
            <w:t>2</w:t>
          </w:r>
          <w:r>
            <w:rPr>
              <w:rFonts w:hint="eastAsia"/>
              <w:lang w:eastAsia="zh-CN"/>
            </w:rPr>
            <w:t>.</w:t>
          </w:r>
          <w:r>
            <w:rPr>
              <w:rFonts w:hint="eastAsia"/>
              <w:lang w:val="en-US" w:eastAsia="zh-CN"/>
            </w:rPr>
            <w:t>4</w:t>
          </w:r>
          <w:r>
            <w:rPr>
              <w:rFonts w:hint="eastAsia"/>
              <w:lang w:eastAsia="zh-CN"/>
            </w:rPr>
            <w:t xml:space="preserve"> 竞赛要求</w:t>
          </w:r>
          <w:r>
            <w:tab/>
          </w:r>
          <w:r>
            <w:fldChar w:fldCharType="begin"/>
          </w:r>
          <w:r>
            <w:instrText xml:space="preserve"> PAGEREF _Toc3861 \h </w:instrText>
          </w:r>
          <w:r>
            <w:fldChar w:fldCharType="separate"/>
          </w:r>
          <w:r>
            <w:t>- 6 -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20B35CA">
          <w:pPr>
            <w:pStyle w:val="13"/>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_Toc29915 </w:instrText>
          </w:r>
          <w:r>
            <w:rPr>
              <w:rFonts w:hint="eastAsia" w:ascii="黑体" w:hAnsi="黑体" w:eastAsia="黑体" w:cs="Times New Roman"/>
              <w:kern w:val="2"/>
              <w:szCs w:val="30"/>
              <w:lang w:val="en-US" w:eastAsia="zh-CN" w:bidi="ar-SA"/>
            </w:rPr>
            <w:fldChar w:fldCharType="separate"/>
          </w:r>
          <w:r>
            <w:rPr>
              <w:rFonts w:hint="eastAsia"/>
              <w:lang w:val="en-US" w:eastAsia="zh-CN"/>
            </w:rPr>
            <w:t>三、竞赛规则</w:t>
          </w:r>
          <w:r>
            <w:tab/>
          </w:r>
          <w:r>
            <w:fldChar w:fldCharType="begin"/>
          </w:r>
          <w:r>
            <w:instrText xml:space="preserve"> PAGEREF _Toc29915 \h </w:instrText>
          </w:r>
          <w:r>
            <w:fldChar w:fldCharType="separate"/>
          </w:r>
          <w:r>
            <w:t>- 6 -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6F99CC6E">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_Toc22884 </w:instrText>
          </w:r>
          <w:r>
            <w:rPr>
              <w:rFonts w:hint="eastAsia" w:ascii="黑体" w:hAnsi="黑体" w:eastAsia="黑体" w:cs="Times New Roman"/>
              <w:kern w:val="2"/>
              <w:szCs w:val="30"/>
              <w:lang w:val="en-US" w:eastAsia="zh-CN" w:bidi="ar-SA"/>
            </w:rPr>
            <w:fldChar w:fldCharType="separate"/>
          </w:r>
          <w:r>
            <w:rPr>
              <w:rFonts w:hint="eastAsia"/>
              <w:lang w:val="en-US" w:eastAsia="zh-CN"/>
            </w:rPr>
            <w:t>3.1参赛资格</w:t>
          </w:r>
          <w:r>
            <w:tab/>
          </w:r>
          <w:r>
            <w:fldChar w:fldCharType="begin"/>
          </w:r>
          <w:r>
            <w:instrText xml:space="preserve"> PAGEREF _Toc22884 \h </w:instrText>
          </w:r>
          <w:r>
            <w:fldChar w:fldCharType="separate"/>
          </w:r>
          <w:r>
            <w:t>- 6 -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3680B50">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_Toc22382 </w:instrText>
          </w:r>
          <w:r>
            <w:rPr>
              <w:rFonts w:hint="eastAsia" w:ascii="黑体" w:hAnsi="黑体" w:eastAsia="黑体" w:cs="Times New Roman"/>
              <w:kern w:val="2"/>
              <w:szCs w:val="30"/>
              <w:lang w:val="en-US" w:eastAsia="zh-CN" w:bidi="ar-SA"/>
            </w:rPr>
            <w:fldChar w:fldCharType="separate"/>
          </w:r>
          <w:r>
            <w:rPr>
              <w:rFonts w:hint="eastAsia"/>
              <w:lang w:val="en-US" w:eastAsia="zh-CN"/>
            </w:rPr>
            <w:t>3.2竞赛流程</w:t>
          </w:r>
          <w:r>
            <w:tab/>
          </w:r>
          <w:r>
            <w:fldChar w:fldCharType="begin"/>
          </w:r>
          <w:r>
            <w:instrText xml:space="preserve"> PAGEREF _Toc22382 \h </w:instrText>
          </w:r>
          <w:r>
            <w:fldChar w:fldCharType="separate"/>
          </w:r>
          <w:r>
            <w:t>- 7 -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5BF89E89">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_Toc21206 </w:instrText>
          </w:r>
          <w:r>
            <w:rPr>
              <w:rFonts w:hint="eastAsia" w:ascii="黑体" w:hAnsi="黑体" w:eastAsia="黑体" w:cs="Times New Roman"/>
              <w:kern w:val="2"/>
              <w:szCs w:val="30"/>
              <w:lang w:val="en-US" w:eastAsia="zh-CN" w:bidi="ar-SA"/>
            </w:rPr>
            <w:fldChar w:fldCharType="separate"/>
          </w:r>
          <w:r>
            <w:rPr>
              <w:rFonts w:hint="eastAsia"/>
              <w:lang w:val="en-US" w:eastAsia="zh-CN"/>
            </w:rPr>
            <w:t>3.3竞赛纪律</w:t>
          </w:r>
          <w:r>
            <w:tab/>
          </w:r>
          <w:r>
            <w:fldChar w:fldCharType="begin"/>
          </w:r>
          <w:r>
            <w:instrText xml:space="preserve"> PAGEREF _Toc21206 \h </w:instrText>
          </w:r>
          <w:r>
            <w:fldChar w:fldCharType="separate"/>
          </w:r>
          <w:r>
            <w:t>- 7 -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00AF6682">
          <w:pPr>
            <w:pStyle w:val="13"/>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_Toc22204 </w:instrText>
          </w:r>
          <w:r>
            <w:rPr>
              <w:rFonts w:hint="eastAsia" w:ascii="黑体" w:hAnsi="黑体" w:eastAsia="黑体" w:cs="Times New Roman"/>
              <w:kern w:val="2"/>
              <w:szCs w:val="30"/>
              <w:lang w:val="en-US" w:eastAsia="zh-CN" w:bidi="ar-SA"/>
            </w:rPr>
            <w:fldChar w:fldCharType="separate"/>
          </w:r>
          <w:r>
            <w:rPr>
              <w:rFonts w:hint="eastAsia"/>
              <w:lang w:val="en-US" w:eastAsia="zh-CN"/>
            </w:rPr>
            <w:t>四</w:t>
          </w:r>
          <w:r>
            <w:rPr>
              <w:rFonts w:hint="eastAsia"/>
              <w:lang w:eastAsia="zh-CN"/>
            </w:rPr>
            <w:t>、评分标准</w:t>
          </w:r>
          <w:r>
            <w:tab/>
          </w:r>
          <w:r>
            <w:fldChar w:fldCharType="begin"/>
          </w:r>
          <w:r>
            <w:instrText xml:space="preserve"> PAGEREF _Toc22204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E9F3F0D">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_Toc9375 </w:instrText>
          </w:r>
          <w:r>
            <w:rPr>
              <w:rFonts w:hint="eastAsia" w:ascii="黑体" w:hAnsi="黑体" w:eastAsia="黑体" w:cs="Times New Roman"/>
              <w:kern w:val="2"/>
              <w:szCs w:val="30"/>
              <w:lang w:val="en-US" w:eastAsia="zh-CN" w:bidi="ar-SA"/>
            </w:rPr>
            <w:fldChar w:fldCharType="separate"/>
          </w:r>
          <w:r>
            <w:rPr>
              <w:rFonts w:hint="eastAsia"/>
              <w:lang w:val="en-US" w:eastAsia="zh-CN"/>
            </w:rPr>
            <w:t>4.1</w:t>
          </w:r>
          <w:r>
            <w:rPr>
              <w:rFonts w:hint="eastAsia"/>
              <w:lang w:eastAsia="zh-CN"/>
            </w:rPr>
            <w:t>理论知识考核评分标准</w:t>
          </w:r>
          <w:r>
            <w:tab/>
          </w:r>
          <w:r>
            <w:fldChar w:fldCharType="begin"/>
          </w:r>
          <w:r>
            <w:instrText xml:space="preserve"> PAGEREF _Toc9375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D7B3F13">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_Toc14949 </w:instrText>
          </w:r>
          <w:r>
            <w:rPr>
              <w:rFonts w:hint="eastAsia" w:ascii="黑体" w:hAnsi="黑体" w:eastAsia="黑体" w:cs="Times New Roman"/>
              <w:kern w:val="2"/>
              <w:szCs w:val="30"/>
              <w:lang w:val="en-US" w:eastAsia="zh-CN" w:bidi="ar-SA"/>
            </w:rPr>
            <w:fldChar w:fldCharType="separate"/>
          </w:r>
          <w:r>
            <w:rPr>
              <w:rFonts w:hint="eastAsia"/>
              <w:lang w:val="en-US" w:eastAsia="zh-CN"/>
            </w:rPr>
            <w:t>4.2</w:t>
          </w:r>
          <w:r>
            <w:rPr>
              <w:rFonts w:hint="eastAsia"/>
              <w:lang w:eastAsia="zh-CN"/>
            </w:rPr>
            <w:t>实际操作考核评分标准</w:t>
          </w:r>
          <w:r>
            <w:tab/>
          </w:r>
          <w:r>
            <w:fldChar w:fldCharType="begin"/>
          </w:r>
          <w:r>
            <w:instrText xml:space="preserve"> PAGEREF _Toc14949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3541968">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_Toc5684 </w:instrText>
          </w:r>
          <w:r>
            <w:rPr>
              <w:rFonts w:hint="eastAsia" w:ascii="黑体" w:hAnsi="黑体" w:eastAsia="黑体" w:cs="Times New Roman"/>
              <w:kern w:val="2"/>
              <w:szCs w:val="30"/>
              <w:lang w:val="en-US" w:eastAsia="zh-CN" w:bidi="ar-SA"/>
            </w:rPr>
            <w:fldChar w:fldCharType="separate"/>
          </w:r>
          <w:r>
            <w:rPr>
              <w:rFonts w:hint="eastAsia"/>
              <w:lang w:val="en-US" w:eastAsia="zh-CN"/>
            </w:rPr>
            <w:t>4.3 总成绩计算方法</w:t>
          </w:r>
          <w:r>
            <w:tab/>
          </w:r>
          <w:r>
            <w:fldChar w:fldCharType="begin"/>
          </w:r>
          <w:r>
            <w:instrText xml:space="preserve"> PAGEREF _Toc5684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2455858E">
          <w:pPr>
            <w:pStyle w:val="13"/>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_Toc6424 </w:instrText>
          </w:r>
          <w:r>
            <w:rPr>
              <w:rFonts w:hint="eastAsia" w:ascii="黑体" w:hAnsi="黑体" w:eastAsia="黑体" w:cs="Times New Roman"/>
              <w:kern w:val="2"/>
              <w:szCs w:val="30"/>
              <w:lang w:val="en-US" w:eastAsia="zh-CN" w:bidi="ar-SA"/>
            </w:rPr>
            <w:fldChar w:fldCharType="separate"/>
          </w:r>
          <w:r>
            <w:rPr>
              <w:rFonts w:hint="eastAsia"/>
              <w:lang w:val="en-US" w:eastAsia="zh-CN"/>
            </w:rPr>
            <w:t>五、</w:t>
          </w:r>
          <w:r>
            <w:rPr>
              <w:lang w:eastAsia="zh-CN"/>
            </w:rPr>
            <w:t>大赛基础设施</w:t>
          </w:r>
          <w:r>
            <w:tab/>
          </w:r>
          <w:r>
            <w:fldChar w:fldCharType="begin"/>
          </w:r>
          <w:r>
            <w:instrText xml:space="preserve"> PAGEREF _Toc6424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5A5617BE">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_Toc17513 </w:instrText>
          </w:r>
          <w:r>
            <w:rPr>
              <w:rFonts w:hint="eastAsia" w:ascii="黑体" w:hAnsi="黑体" w:eastAsia="黑体" w:cs="Times New Roman"/>
              <w:kern w:val="2"/>
              <w:szCs w:val="30"/>
              <w:lang w:val="en-US" w:eastAsia="zh-CN" w:bidi="ar-SA"/>
            </w:rPr>
            <w:fldChar w:fldCharType="separate"/>
          </w:r>
          <w:r>
            <w:rPr>
              <w:rFonts w:hint="eastAsia"/>
              <w:lang w:val="en-US" w:eastAsia="zh-CN"/>
            </w:rPr>
            <w:t>5</w:t>
          </w:r>
          <w:r>
            <w:rPr>
              <w:lang w:eastAsia="zh-CN"/>
            </w:rPr>
            <w:t>.</w:t>
          </w:r>
          <w:r>
            <w:rPr>
              <w:rFonts w:hint="default"/>
              <w:lang w:eastAsia="zh-CN"/>
            </w:rPr>
            <w:t>1</w:t>
          </w:r>
          <w:r>
            <w:rPr>
              <w:lang w:eastAsia="zh-CN"/>
            </w:rPr>
            <w:t xml:space="preserve"> 竞赛平台条件</w:t>
          </w:r>
          <w:r>
            <w:tab/>
          </w:r>
          <w:r>
            <w:fldChar w:fldCharType="begin"/>
          </w:r>
          <w:r>
            <w:instrText xml:space="preserve"> PAGEREF _Toc17513 \h </w:instrText>
          </w:r>
          <w:r>
            <w:fldChar w:fldCharType="separate"/>
          </w:r>
          <w:r>
            <w:t>- 8 -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6B97D988">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_Toc430 </w:instrText>
          </w:r>
          <w:r>
            <w:rPr>
              <w:rFonts w:hint="eastAsia" w:ascii="黑体" w:hAnsi="黑体" w:eastAsia="黑体" w:cs="Times New Roman"/>
              <w:kern w:val="2"/>
              <w:szCs w:val="30"/>
              <w:lang w:val="en-US" w:eastAsia="zh-CN" w:bidi="ar-SA"/>
            </w:rPr>
            <w:fldChar w:fldCharType="separate"/>
          </w:r>
          <w:r>
            <w:rPr>
              <w:rFonts w:hint="eastAsia"/>
              <w:lang w:val="en-US" w:eastAsia="zh-CN"/>
            </w:rPr>
            <w:t>5</w:t>
          </w:r>
          <w:r>
            <w:rPr>
              <w:rFonts w:hint="eastAsia"/>
              <w:lang w:eastAsia="zh-CN"/>
            </w:rPr>
            <w:t>.</w:t>
          </w:r>
          <w:r>
            <w:rPr>
              <w:rFonts w:hint="default"/>
              <w:lang w:eastAsia="zh-CN"/>
            </w:rPr>
            <w:t>2</w:t>
          </w:r>
          <w:r>
            <w:rPr>
              <w:lang w:eastAsia="zh-CN"/>
            </w:rPr>
            <w:t xml:space="preserve"> </w:t>
          </w:r>
          <w:r>
            <w:rPr>
              <w:rFonts w:hint="eastAsia"/>
              <w:lang w:eastAsia="zh-CN"/>
            </w:rPr>
            <w:t>赛场设备主要配置清单</w:t>
          </w:r>
          <w:r>
            <w:tab/>
          </w:r>
          <w:r>
            <w:fldChar w:fldCharType="begin"/>
          </w:r>
          <w:r>
            <w:instrText xml:space="preserve"> PAGEREF _Toc430 \h </w:instrText>
          </w:r>
          <w:r>
            <w:fldChar w:fldCharType="separate"/>
          </w:r>
          <w:r>
            <w:t>- 9 -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7B29E6AA">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_Toc15013 </w:instrText>
          </w:r>
          <w:r>
            <w:rPr>
              <w:rFonts w:hint="eastAsia" w:ascii="黑体" w:hAnsi="黑体" w:eastAsia="黑体" w:cs="Times New Roman"/>
              <w:kern w:val="2"/>
              <w:szCs w:val="30"/>
              <w:lang w:val="en-US" w:eastAsia="zh-CN" w:bidi="ar-SA"/>
            </w:rPr>
            <w:fldChar w:fldCharType="separate"/>
          </w:r>
          <w:r>
            <w:rPr>
              <w:rFonts w:hint="eastAsia"/>
              <w:lang w:val="en-US" w:eastAsia="zh-CN"/>
            </w:rPr>
            <w:t>5</w:t>
          </w:r>
          <w:r>
            <w:rPr>
              <w:rFonts w:hint="eastAsia"/>
              <w:lang w:eastAsia="zh-CN"/>
            </w:rPr>
            <w:t>.</w:t>
          </w:r>
          <w:r>
            <w:rPr>
              <w:rFonts w:hint="eastAsia"/>
              <w:lang w:val="en-US" w:eastAsia="zh-CN"/>
            </w:rPr>
            <w:t>3</w:t>
          </w:r>
          <w:r>
            <w:rPr>
              <w:lang w:eastAsia="zh-CN"/>
            </w:rPr>
            <w:t xml:space="preserve"> 竞赛场地条件</w:t>
          </w:r>
          <w:r>
            <w:tab/>
          </w:r>
          <w:r>
            <w:fldChar w:fldCharType="begin"/>
          </w:r>
          <w:r>
            <w:instrText xml:space="preserve"> PAGEREF _Toc15013 \h </w:instrText>
          </w:r>
          <w:r>
            <w:fldChar w:fldCharType="separate"/>
          </w:r>
          <w:r>
            <w:t>- 9 -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473D65BA">
          <w:pPr>
            <w:pStyle w:val="13"/>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_Toc29215 </w:instrText>
          </w:r>
          <w:r>
            <w:rPr>
              <w:rFonts w:hint="eastAsia" w:ascii="黑体" w:hAnsi="黑体" w:eastAsia="黑体" w:cs="Times New Roman"/>
              <w:kern w:val="2"/>
              <w:szCs w:val="30"/>
              <w:lang w:val="en-US" w:eastAsia="zh-CN" w:bidi="ar-SA"/>
            </w:rPr>
            <w:fldChar w:fldCharType="separate"/>
          </w:r>
          <w:r>
            <w:rPr>
              <w:rFonts w:hint="eastAsia"/>
              <w:lang w:val="en-US" w:eastAsia="zh-CN"/>
            </w:rPr>
            <w:t>六</w:t>
          </w:r>
          <w:r>
            <w:rPr>
              <w:rFonts w:hint="eastAsia"/>
              <w:lang w:eastAsia="zh-CN"/>
            </w:rPr>
            <w:t>、竞赛人员要求</w:t>
          </w:r>
          <w:r>
            <w:tab/>
          </w:r>
          <w:r>
            <w:fldChar w:fldCharType="begin"/>
          </w:r>
          <w:r>
            <w:instrText xml:space="preserve"> PAGEREF _Toc29215 \h </w:instrText>
          </w:r>
          <w:r>
            <w:fldChar w:fldCharType="separate"/>
          </w:r>
          <w:r>
            <w:t>- 11 -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5BEB6E3">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_Toc18050 </w:instrText>
          </w:r>
          <w:r>
            <w:rPr>
              <w:rFonts w:hint="eastAsia" w:ascii="黑体" w:hAnsi="黑体" w:eastAsia="黑体" w:cs="Times New Roman"/>
              <w:kern w:val="2"/>
              <w:szCs w:val="30"/>
              <w:lang w:val="en-US" w:eastAsia="zh-CN" w:bidi="ar-SA"/>
            </w:rPr>
            <w:fldChar w:fldCharType="separate"/>
          </w:r>
          <w:r>
            <w:rPr>
              <w:rFonts w:hint="eastAsia"/>
              <w:lang w:val="en-US" w:eastAsia="zh-CN"/>
            </w:rPr>
            <w:t>6.1</w:t>
          </w:r>
          <w:r>
            <w:rPr>
              <w:lang w:eastAsia="zh-CN"/>
            </w:rPr>
            <w:t xml:space="preserve"> 裁判员条件和工作内容</w:t>
          </w:r>
          <w:r>
            <w:tab/>
          </w:r>
          <w:r>
            <w:fldChar w:fldCharType="begin"/>
          </w:r>
          <w:r>
            <w:instrText xml:space="preserve"> PAGEREF _Toc18050 \h </w:instrText>
          </w:r>
          <w:r>
            <w:fldChar w:fldCharType="separate"/>
          </w:r>
          <w:r>
            <w:t>- 11 -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26B2259F">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_Toc13079 </w:instrText>
          </w:r>
          <w:r>
            <w:rPr>
              <w:rFonts w:hint="eastAsia" w:ascii="黑体" w:hAnsi="黑体" w:eastAsia="黑体" w:cs="Times New Roman"/>
              <w:kern w:val="2"/>
              <w:szCs w:val="30"/>
              <w:lang w:val="en-US" w:eastAsia="zh-CN" w:bidi="ar-SA"/>
            </w:rPr>
            <w:fldChar w:fldCharType="separate"/>
          </w:r>
          <w:r>
            <w:rPr>
              <w:rFonts w:hint="eastAsia"/>
              <w:lang w:val="en-US" w:eastAsia="zh-CN"/>
            </w:rPr>
            <w:t>6.1.1</w:t>
          </w:r>
          <w:r>
            <w:rPr>
              <w:lang w:eastAsia="zh-CN"/>
            </w:rPr>
            <w:t>裁判长</w:t>
          </w:r>
          <w:r>
            <w:tab/>
          </w:r>
          <w:r>
            <w:fldChar w:fldCharType="begin"/>
          </w:r>
          <w:r>
            <w:instrText xml:space="preserve"> PAGEREF _Toc13079 \h </w:instrText>
          </w:r>
          <w:r>
            <w:fldChar w:fldCharType="separate"/>
          </w:r>
          <w:r>
            <w:t>- 11 -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4A30A0D2">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_Toc24974 </w:instrText>
          </w:r>
          <w:r>
            <w:rPr>
              <w:rFonts w:hint="eastAsia" w:ascii="黑体" w:hAnsi="黑体" w:eastAsia="黑体" w:cs="Times New Roman"/>
              <w:kern w:val="2"/>
              <w:szCs w:val="30"/>
              <w:lang w:val="en-US" w:eastAsia="zh-CN" w:bidi="ar-SA"/>
            </w:rPr>
            <w:fldChar w:fldCharType="separate"/>
          </w:r>
          <w:r>
            <w:rPr>
              <w:rFonts w:hint="eastAsia"/>
              <w:lang w:val="en-US" w:eastAsia="zh-CN"/>
            </w:rPr>
            <w:t>6.1.2</w:t>
          </w:r>
          <w:r>
            <w:rPr>
              <w:lang w:eastAsia="zh-CN"/>
            </w:rPr>
            <w:t>裁判员的条件和组成</w:t>
          </w:r>
          <w:r>
            <w:tab/>
          </w:r>
          <w:r>
            <w:fldChar w:fldCharType="begin"/>
          </w:r>
          <w:r>
            <w:instrText xml:space="preserve"> PAGEREF _Toc24974 \h </w:instrText>
          </w:r>
          <w:r>
            <w:fldChar w:fldCharType="separate"/>
          </w:r>
          <w:r>
            <w:t>- 11 -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03F6DA6B">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_Toc9524 </w:instrText>
          </w:r>
          <w:r>
            <w:rPr>
              <w:rFonts w:hint="eastAsia" w:ascii="黑体" w:hAnsi="黑体" w:eastAsia="黑体" w:cs="Times New Roman"/>
              <w:kern w:val="2"/>
              <w:szCs w:val="30"/>
              <w:lang w:val="en-US" w:eastAsia="zh-CN" w:bidi="ar-SA"/>
            </w:rPr>
            <w:fldChar w:fldCharType="separate"/>
          </w:r>
          <w:r>
            <w:rPr>
              <w:rFonts w:hint="eastAsia"/>
              <w:lang w:val="en-US" w:eastAsia="zh-CN"/>
            </w:rPr>
            <w:t>6.1.3</w:t>
          </w:r>
          <w:r>
            <w:rPr>
              <w:lang w:eastAsia="zh-CN"/>
            </w:rPr>
            <w:t>裁判员的工作内容</w:t>
          </w:r>
          <w:r>
            <w:tab/>
          </w:r>
          <w:r>
            <w:fldChar w:fldCharType="begin"/>
          </w:r>
          <w:r>
            <w:instrText xml:space="preserve"> PAGEREF _Toc9524 \h </w:instrText>
          </w:r>
          <w:r>
            <w:fldChar w:fldCharType="separate"/>
          </w:r>
          <w:r>
            <w:t>- 12 -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31A2A304">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_Toc10771 </w:instrText>
          </w:r>
          <w:r>
            <w:rPr>
              <w:rFonts w:hint="eastAsia" w:ascii="黑体" w:hAnsi="黑体" w:eastAsia="黑体" w:cs="Times New Roman"/>
              <w:kern w:val="2"/>
              <w:szCs w:val="30"/>
              <w:lang w:val="en-US" w:eastAsia="zh-CN" w:bidi="ar-SA"/>
            </w:rPr>
            <w:fldChar w:fldCharType="separate"/>
          </w:r>
          <w:r>
            <w:rPr>
              <w:rFonts w:hint="eastAsia"/>
              <w:lang w:val="en-US" w:eastAsia="zh-CN"/>
            </w:rPr>
            <w:t>6.1.4</w:t>
          </w:r>
          <w:r>
            <w:rPr>
              <w:lang w:eastAsia="zh-CN"/>
            </w:rPr>
            <w:t>裁判员在评判工作中的任务</w:t>
          </w:r>
          <w:r>
            <w:tab/>
          </w:r>
          <w:r>
            <w:fldChar w:fldCharType="begin"/>
          </w:r>
          <w:r>
            <w:instrText xml:space="preserve"> PAGEREF _Toc10771 \h </w:instrText>
          </w:r>
          <w:r>
            <w:fldChar w:fldCharType="separate"/>
          </w:r>
          <w:r>
            <w:t>- 13 -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6CBABF80">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_Toc13620 </w:instrText>
          </w:r>
          <w:r>
            <w:rPr>
              <w:rFonts w:hint="eastAsia" w:ascii="黑体" w:hAnsi="黑体" w:eastAsia="黑体" w:cs="Times New Roman"/>
              <w:kern w:val="2"/>
              <w:szCs w:val="30"/>
              <w:lang w:val="en-US" w:eastAsia="zh-CN" w:bidi="ar-SA"/>
            </w:rPr>
            <w:fldChar w:fldCharType="separate"/>
          </w:r>
          <w:r>
            <w:rPr>
              <w:rFonts w:hint="eastAsia"/>
              <w:lang w:val="en-US" w:eastAsia="zh-CN"/>
            </w:rPr>
            <w:t>6.1.5</w:t>
          </w:r>
          <w:r>
            <w:rPr>
              <w:lang w:eastAsia="zh-CN"/>
            </w:rPr>
            <w:t xml:space="preserve"> 裁判员在评判中的纪律和要求</w:t>
          </w:r>
          <w:r>
            <w:tab/>
          </w:r>
          <w:r>
            <w:fldChar w:fldCharType="begin"/>
          </w:r>
          <w:r>
            <w:instrText xml:space="preserve"> PAGEREF _Toc13620 \h </w:instrText>
          </w:r>
          <w:r>
            <w:fldChar w:fldCharType="separate"/>
          </w:r>
          <w:r>
            <w:t>- 14 -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46BF3E67">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_Toc27399 </w:instrText>
          </w:r>
          <w:r>
            <w:rPr>
              <w:rFonts w:hint="eastAsia" w:ascii="黑体" w:hAnsi="黑体" w:eastAsia="黑体" w:cs="Times New Roman"/>
              <w:kern w:val="2"/>
              <w:szCs w:val="30"/>
              <w:lang w:val="en-US" w:eastAsia="zh-CN" w:bidi="ar-SA"/>
            </w:rPr>
            <w:fldChar w:fldCharType="separate"/>
          </w:r>
          <w:r>
            <w:rPr>
              <w:rFonts w:hint="eastAsia"/>
              <w:lang w:val="en-US" w:eastAsia="zh-CN"/>
            </w:rPr>
            <w:t xml:space="preserve">6.2 </w:t>
          </w:r>
          <w:r>
            <w:rPr>
              <w:lang w:eastAsia="zh-CN"/>
            </w:rPr>
            <w:t>选手条件和工作内容</w:t>
          </w:r>
          <w:r>
            <w:tab/>
          </w:r>
          <w:r>
            <w:fldChar w:fldCharType="begin"/>
          </w:r>
          <w:r>
            <w:instrText xml:space="preserve"> PAGEREF _Toc27399 \h </w:instrText>
          </w:r>
          <w:r>
            <w:fldChar w:fldCharType="separate"/>
          </w:r>
          <w:r>
            <w:t>- 14 -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45A89F38">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_Toc5790 </w:instrText>
          </w:r>
          <w:r>
            <w:rPr>
              <w:rFonts w:hint="eastAsia" w:ascii="黑体" w:hAnsi="黑体" w:eastAsia="黑体" w:cs="Times New Roman"/>
              <w:kern w:val="2"/>
              <w:szCs w:val="30"/>
              <w:lang w:val="en-US" w:eastAsia="zh-CN" w:bidi="ar-SA"/>
            </w:rPr>
            <w:fldChar w:fldCharType="separate"/>
          </w:r>
          <w:r>
            <w:rPr>
              <w:rFonts w:hint="eastAsia"/>
              <w:lang w:val="en-US" w:eastAsia="zh-CN"/>
            </w:rPr>
            <w:t>6.2.</w:t>
          </w:r>
          <w:r>
            <w:rPr>
              <w:rFonts w:hint="default"/>
              <w:lang w:eastAsia="zh-CN"/>
            </w:rPr>
            <w:t>1</w:t>
          </w:r>
          <w:r>
            <w:rPr>
              <w:lang w:eastAsia="zh-CN"/>
            </w:rPr>
            <w:t xml:space="preserve"> 选手的条件和要求</w:t>
          </w:r>
          <w:r>
            <w:tab/>
          </w:r>
          <w:r>
            <w:fldChar w:fldCharType="begin"/>
          </w:r>
          <w:r>
            <w:instrText xml:space="preserve"> PAGEREF _Toc5790 \h </w:instrText>
          </w:r>
          <w:r>
            <w:fldChar w:fldCharType="separate"/>
          </w:r>
          <w:r>
            <w:t>- 14 -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488E5767">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_Toc29844 </w:instrText>
          </w:r>
          <w:r>
            <w:rPr>
              <w:rFonts w:hint="eastAsia" w:ascii="黑体" w:hAnsi="黑体" w:eastAsia="黑体" w:cs="Times New Roman"/>
              <w:kern w:val="2"/>
              <w:szCs w:val="30"/>
              <w:lang w:val="en-US" w:eastAsia="zh-CN" w:bidi="ar-SA"/>
            </w:rPr>
            <w:fldChar w:fldCharType="separate"/>
          </w:r>
          <w:r>
            <w:rPr>
              <w:rFonts w:hint="eastAsia"/>
              <w:lang w:val="en-US" w:eastAsia="zh-CN"/>
            </w:rPr>
            <w:t>6.2.</w:t>
          </w:r>
          <w:r>
            <w:rPr>
              <w:rFonts w:hint="default"/>
              <w:lang w:eastAsia="zh-CN"/>
            </w:rPr>
            <w:t>2</w:t>
          </w:r>
          <w:r>
            <w:rPr>
              <w:lang w:eastAsia="zh-CN"/>
            </w:rPr>
            <w:t xml:space="preserve"> 选手的工作内容</w:t>
          </w:r>
          <w:r>
            <w:tab/>
          </w:r>
          <w:r>
            <w:fldChar w:fldCharType="begin"/>
          </w:r>
          <w:r>
            <w:instrText xml:space="preserve"> PAGEREF _Toc29844 \h </w:instrText>
          </w:r>
          <w:r>
            <w:fldChar w:fldCharType="separate"/>
          </w:r>
          <w:r>
            <w:t>- 15 -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5788E1AD">
          <w:pPr>
            <w:pStyle w:val="10"/>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_Toc8366 </w:instrText>
          </w:r>
          <w:r>
            <w:rPr>
              <w:rFonts w:hint="eastAsia" w:ascii="黑体" w:hAnsi="黑体" w:eastAsia="黑体" w:cs="Times New Roman"/>
              <w:kern w:val="2"/>
              <w:szCs w:val="30"/>
              <w:lang w:val="en-US" w:eastAsia="zh-CN" w:bidi="ar-SA"/>
            </w:rPr>
            <w:fldChar w:fldCharType="separate"/>
          </w:r>
          <w:r>
            <w:rPr>
              <w:rFonts w:hint="eastAsia"/>
              <w:lang w:val="en-US" w:eastAsia="zh-CN"/>
            </w:rPr>
            <w:t>6.2.</w:t>
          </w:r>
          <w:r>
            <w:rPr>
              <w:rFonts w:hint="default"/>
              <w:lang w:eastAsia="zh-CN"/>
            </w:rPr>
            <w:t>3</w:t>
          </w:r>
          <w:r>
            <w:rPr>
              <w:lang w:eastAsia="zh-CN"/>
            </w:rPr>
            <w:t xml:space="preserve"> 选手文明参赛要求</w:t>
          </w:r>
          <w:r>
            <w:tab/>
          </w:r>
          <w:r>
            <w:fldChar w:fldCharType="begin"/>
          </w:r>
          <w:r>
            <w:instrText xml:space="preserve"> PAGEREF _Toc8366 \h </w:instrText>
          </w:r>
          <w:r>
            <w:fldChar w:fldCharType="separate"/>
          </w:r>
          <w:r>
            <w:t>- 15 -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61D9C8AB">
          <w:pPr>
            <w:pStyle w:val="14"/>
            <w:tabs>
              <w:tab w:val="right" w:leader="dot" w:pos="9071"/>
            </w:tabs>
            <w:spacing w:line="240" w:lineRule="auto"/>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Times New Roman"/>
              <w:kern w:val="2"/>
              <w:szCs w:val="30"/>
              <w:lang w:val="en-US" w:eastAsia="zh-CN" w:bidi="ar-SA"/>
            </w:rPr>
            <w:instrText xml:space="preserve"> HYPERLINK \l _Toc20959 </w:instrText>
          </w:r>
          <w:r>
            <w:rPr>
              <w:rFonts w:hint="eastAsia" w:ascii="黑体" w:hAnsi="黑体" w:eastAsia="黑体" w:cs="Times New Roman"/>
              <w:kern w:val="2"/>
              <w:szCs w:val="30"/>
              <w:lang w:val="en-US" w:eastAsia="zh-CN" w:bidi="ar-SA"/>
            </w:rPr>
            <w:fldChar w:fldCharType="separate"/>
          </w:r>
          <w:r>
            <w:rPr>
              <w:rFonts w:hint="eastAsia"/>
              <w:lang w:val="en-US" w:eastAsia="zh-CN"/>
            </w:rPr>
            <w:t xml:space="preserve">6.3 </w:t>
          </w:r>
          <w:r>
            <w:rPr>
              <w:lang w:eastAsia="zh-CN"/>
            </w:rPr>
            <w:t>赛场纪律</w:t>
          </w:r>
          <w:r>
            <w:tab/>
          </w:r>
          <w:r>
            <w:fldChar w:fldCharType="begin"/>
          </w:r>
          <w:r>
            <w:instrText xml:space="preserve"> PAGEREF _Toc20959 \h </w:instrText>
          </w:r>
          <w:r>
            <w:fldChar w:fldCharType="separate"/>
          </w:r>
          <w:r>
            <w:t>- 17 -</w:t>
          </w:r>
          <w:r>
            <w:fldChar w:fldCharType="end"/>
          </w: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p w14:paraId="14D97F4F">
          <w:pPr>
            <w:keepNext w:val="0"/>
            <w:keepLines w:val="0"/>
            <w:pageBreakBefore w:val="0"/>
            <w:kinsoku/>
            <w:wordWrap/>
            <w:overflowPunct/>
            <w:topLinePunct w:val="0"/>
            <w:bidi w:val="0"/>
            <w:adjustRightInd/>
            <w:snapToGrid/>
            <w:spacing w:line="240" w:lineRule="auto"/>
            <w:ind w:left="0" w:firstLine="0" w:firstLineChars="0"/>
            <w:textAlignment w:val="auto"/>
            <w:rPr>
              <w:rFonts w:hint="eastAsia"/>
              <w:lang w:val="en-US" w:eastAsia="zh-CN"/>
            </w:rPr>
          </w:pPr>
          <w:r>
            <w:rPr>
              <w:rFonts w:hint="eastAsia" w:ascii="黑体" w:hAnsi="黑体" w:eastAsia="黑体" w:cs="Times New Roman"/>
              <w:color w:val="000000" w:themeColor="text1"/>
              <w:kern w:val="2"/>
              <w:szCs w:val="30"/>
              <w:lang w:val="en-US" w:eastAsia="zh-CN" w:bidi="ar-SA"/>
              <w14:textFill>
                <w14:solidFill>
                  <w14:schemeClr w14:val="tx1"/>
                </w14:solidFill>
              </w14:textFill>
            </w:rPr>
            <w:fldChar w:fldCharType="end"/>
          </w:r>
        </w:p>
      </w:sdtContent>
    </w:sdt>
    <w:p w14:paraId="105BE998">
      <w:pPr>
        <w:bidi w:val="0"/>
        <w:rPr>
          <w:rFonts w:hint="eastAsia"/>
          <w:lang w:val="en-US" w:eastAsia="zh-CN"/>
        </w:rPr>
      </w:pPr>
    </w:p>
    <w:p w14:paraId="255E68B1">
      <w:pPr>
        <w:bidi w:val="0"/>
        <w:rPr>
          <w:rFonts w:hint="eastAsia"/>
          <w:lang w:eastAsia="zh-CN"/>
        </w:rPr>
        <w:sectPr>
          <w:headerReference r:id="rId5" w:type="default"/>
          <w:footerReference r:id="rId6" w:type="default"/>
          <w:pgSz w:w="11906" w:h="16838"/>
          <w:pgMar w:top="1418" w:right="1134" w:bottom="1418" w:left="1701" w:header="851" w:footer="992" w:gutter="0"/>
          <w:pgNumType w:fmt="numberInDash" w:start="1"/>
          <w:cols w:space="425" w:num="1"/>
          <w:docGrid w:type="lines" w:linePitch="312" w:charSpace="0"/>
        </w:sectPr>
      </w:pPr>
    </w:p>
    <w:p w14:paraId="22878DD1">
      <w:pPr>
        <w:pStyle w:val="2"/>
        <w:bidi w:val="0"/>
        <w:rPr>
          <w:lang w:eastAsia="zh-CN"/>
        </w:rPr>
      </w:pPr>
      <w:bookmarkStart w:id="0" w:name="_Toc21241"/>
      <w:r>
        <w:rPr>
          <w:rFonts w:hint="eastAsia"/>
          <w:lang w:eastAsia="zh-CN"/>
        </w:rPr>
        <w:t>一、赛项描述</w:t>
      </w:r>
      <w:bookmarkEnd w:id="0"/>
    </w:p>
    <w:p w14:paraId="1560675A">
      <w:pPr>
        <w:pStyle w:val="3"/>
        <w:bidi w:val="0"/>
        <w:rPr>
          <w:rFonts w:hint="default"/>
          <w:lang w:eastAsia="zh-CN"/>
        </w:rPr>
      </w:pPr>
      <w:bookmarkStart w:id="1" w:name="_Toc4564"/>
      <w:bookmarkStart w:id="2" w:name="_Toc4192"/>
      <w:bookmarkStart w:id="3" w:name="_Toc23807"/>
      <w:bookmarkStart w:id="4" w:name="_Toc108109217"/>
      <w:r>
        <w:rPr>
          <w:rFonts w:hint="default"/>
          <w:lang w:eastAsia="zh-CN"/>
        </w:rPr>
        <w:t>1.1 项目概要</w:t>
      </w:r>
      <w:bookmarkEnd w:id="1"/>
      <w:bookmarkEnd w:id="2"/>
      <w:bookmarkEnd w:id="3"/>
      <w:bookmarkEnd w:id="4"/>
      <w:bookmarkStart w:id="210" w:name="_GoBack"/>
      <w:bookmarkEnd w:id="210"/>
    </w:p>
    <w:p w14:paraId="4C5886CA">
      <w:pPr>
        <w:bidi w:val="0"/>
        <w:rPr>
          <w:rFonts w:hint="eastAsia"/>
          <w:lang w:eastAsia="zh-CN"/>
        </w:rPr>
      </w:pPr>
      <w:bookmarkStart w:id="5" w:name="_Toc108109219"/>
      <w:bookmarkStart w:id="6" w:name="_Toc28305"/>
      <w:bookmarkStart w:id="7" w:name="_Toc3337"/>
      <w:r>
        <w:rPr>
          <w:rFonts w:hint="eastAsia"/>
          <w:lang w:eastAsia="zh-CN"/>
        </w:rPr>
        <w:t>本项目参考人力资源社会保障部等部委发布的"人工智能工程技术人员"新职业信息的要求，结合当前新职业从事的工作领域和技能要求，参照人社部发布的《人工智能工程技术人员国家职业技能标准》，</w:t>
      </w:r>
      <w:r>
        <w:rPr>
          <w:rFonts w:hint="eastAsia"/>
          <w:highlight w:val="none"/>
          <w:lang w:eastAsia="zh-CN"/>
        </w:rPr>
        <w:t>对标</w:t>
      </w:r>
      <w:r>
        <w:rPr>
          <w:rFonts w:hint="eastAsia"/>
          <w:highlight w:val="none"/>
          <w:lang w:val="en-US" w:eastAsia="zh-CN"/>
        </w:rPr>
        <w:t>初、中</w:t>
      </w:r>
      <w:r>
        <w:rPr>
          <w:rFonts w:hint="eastAsia"/>
          <w:highlight w:val="none"/>
          <w:lang w:eastAsia="zh-CN"/>
        </w:rPr>
        <w:t>级技术人员的能力水平与岗位技能要求，同时参考中华人民共和国第二届职</w:t>
      </w:r>
      <w:r>
        <w:rPr>
          <w:rFonts w:hint="eastAsia"/>
          <w:lang w:eastAsia="zh-CN"/>
        </w:rPr>
        <w:t>业技能大赛的技术工作要求，设计本次竞赛的工作内容和考评标准。</w:t>
      </w:r>
    </w:p>
    <w:p w14:paraId="1C14C1AB">
      <w:pPr>
        <w:bidi w:val="0"/>
        <w:rPr>
          <w:rFonts w:hint="eastAsia"/>
          <w:lang w:eastAsia="zh-CN"/>
        </w:rPr>
      </w:pPr>
      <w:r>
        <w:rPr>
          <w:rFonts w:hint="eastAsia"/>
          <w:lang w:eastAsia="zh-CN"/>
        </w:rPr>
        <w:t>人工智能技术旨在解决人类重复性劳动以及难以解释的信息分析能力的难题。本次比赛选手需要综合利用计算机视觉、自然语言处理解决现实生产生活中的问题。赛项涵盖了人工智能算法工程的全链路包括但不限于：数据的预处理与分析，模型的选择、搭建与训练以及对模型的评估和工程实现等。选手需具备人工智能的机器学习、深度学习、 自然语言处理技术应用、计算机视觉技术应用、综合工程技术应用等方面的职业能力。本项目要求选手尽可能多地考虑条件限制和场景变化情况下模型的可靠程度，并有较强的人工智能工程应用实现能力，利用提供的人工智能工程技术竞赛平台，通过企业级工作实施任务考察选手的综合职业能力。</w:t>
      </w:r>
    </w:p>
    <w:p w14:paraId="45E7BB64">
      <w:pPr>
        <w:pStyle w:val="3"/>
        <w:bidi w:val="0"/>
        <w:rPr>
          <w:rFonts w:hint="default"/>
          <w:lang w:eastAsia="zh-CN"/>
        </w:rPr>
      </w:pPr>
      <w:bookmarkStart w:id="8" w:name="_Toc29805"/>
      <w:r>
        <w:rPr>
          <w:rFonts w:hint="default"/>
          <w:lang w:eastAsia="zh-CN"/>
        </w:rPr>
        <w:t>1.2 技术能力要求</w:t>
      </w:r>
      <w:bookmarkEnd w:id="5"/>
      <w:bookmarkEnd w:id="6"/>
      <w:bookmarkEnd w:id="7"/>
      <w:bookmarkEnd w:id="8"/>
    </w:p>
    <w:p w14:paraId="1C91F1F4">
      <w:pPr>
        <w:bidi w:val="0"/>
        <w:rPr>
          <w:rFonts w:hint="default"/>
          <w:lang w:val="en-US" w:eastAsia="zh-CN"/>
        </w:rPr>
      </w:pPr>
      <w:r>
        <w:rPr>
          <w:rFonts w:hint="default"/>
          <w:lang w:val="en-US" w:eastAsia="zh-CN"/>
        </w:rPr>
        <w:t>本赛项强调对人工智能模型训练、技术应用与工程落地实操能力的综合考察，要求参赛选手具备以下技术素养：​</w:t>
      </w:r>
    </w:p>
    <w:p w14:paraId="52CEC0EF">
      <w:pPr>
        <w:bidi w:val="0"/>
        <w:rPr>
          <w:rFonts w:hint="default"/>
          <w:lang w:val="en-US" w:eastAsia="zh-CN"/>
        </w:rPr>
      </w:pPr>
      <w:r>
        <w:rPr>
          <w:rFonts w:hint="default"/>
          <w:lang w:val="en-US" w:eastAsia="zh-CN"/>
        </w:rPr>
        <w:t>1、基础技术能力​</w:t>
      </w:r>
    </w:p>
    <w:p w14:paraId="386A165E">
      <w:pPr>
        <w:bidi w:val="0"/>
        <w:rPr>
          <w:rFonts w:hint="default"/>
          <w:lang w:val="en-US" w:eastAsia="zh-CN"/>
        </w:rPr>
      </w:pPr>
      <w:r>
        <w:rPr>
          <w:rFonts w:hint="default"/>
          <w:lang w:val="en-US" w:eastAsia="zh-CN"/>
        </w:rPr>
        <w:t>（1）熟练掌握机器学习、深度学习基础理论知识，熟悉人工智能训练基础流程，能够根据不同业务场景合理选用适配的算法模型；</w:t>
      </w:r>
    </w:p>
    <w:p w14:paraId="29363AC7">
      <w:pPr>
        <w:bidi w:val="0"/>
        <w:rPr>
          <w:rFonts w:hint="default"/>
          <w:lang w:val="en-US" w:eastAsia="zh-CN"/>
        </w:rPr>
      </w:pPr>
      <w:r>
        <w:rPr>
          <w:rFonts w:hint="default"/>
          <w:lang w:val="en-US" w:eastAsia="zh-CN"/>
        </w:rPr>
        <w:t>（2）精通至少一种主流人工智能开发框架，具备数据集处理、模型搭建、迭代训练的实操能力；</w:t>
      </w:r>
    </w:p>
    <w:p w14:paraId="76CBED3F">
      <w:pPr>
        <w:bidi w:val="0"/>
        <w:rPr>
          <w:rFonts w:hint="default"/>
          <w:lang w:val="en-US" w:eastAsia="zh-CN"/>
        </w:rPr>
      </w:pPr>
      <w:r>
        <w:rPr>
          <w:rFonts w:hint="default"/>
          <w:lang w:val="en-US" w:eastAsia="zh-CN"/>
        </w:rPr>
        <w:t>（3）掌握人工智能数据治理相关技能，能够独立完成数据清洗、特征工程、数据归一化等预处理工作，保障训练数据质量。</w:t>
      </w:r>
    </w:p>
    <w:p w14:paraId="638E4DF0">
      <w:pPr>
        <w:bidi w:val="0"/>
        <w:rPr>
          <w:rFonts w:hint="default"/>
          <w:lang w:val="en-US" w:eastAsia="zh-CN"/>
        </w:rPr>
      </w:pPr>
      <w:r>
        <w:rPr>
          <w:rFonts w:hint="default"/>
          <w:lang w:val="en-US" w:eastAsia="zh-CN"/>
        </w:rPr>
        <w:t>​2、专业技术能力​</w:t>
      </w:r>
    </w:p>
    <w:p w14:paraId="226BC61B">
      <w:pPr>
        <w:bidi w:val="0"/>
        <w:rPr>
          <w:rFonts w:hint="default"/>
          <w:lang w:val="en-US" w:eastAsia="zh-CN"/>
        </w:rPr>
      </w:pPr>
      <w:r>
        <w:rPr>
          <w:rFonts w:hint="eastAsia"/>
          <w:lang w:val="en-US" w:eastAsia="zh-CN"/>
        </w:rPr>
        <w:t>（</w:t>
      </w:r>
      <w:r>
        <w:rPr>
          <w:rFonts w:hint="default"/>
          <w:lang w:val="en-US" w:eastAsia="zh-CN"/>
        </w:rPr>
        <w:t>1）具备自然语言处理、计算机视觉两大核心领域的模型训练实操经验，能够按照任务要求完成模型微调、评估与优化，开发适配场景的智能应用模型；</w:t>
      </w:r>
    </w:p>
    <w:p w14:paraId="3973B4C5">
      <w:pPr>
        <w:bidi w:val="0"/>
        <w:rPr>
          <w:rFonts w:hint="default"/>
          <w:lang w:val="en-US" w:eastAsia="zh-CN"/>
        </w:rPr>
      </w:pPr>
      <w:r>
        <w:rPr>
          <w:rFonts w:hint="default"/>
          <w:lang w:val="en-US" w:eastAsia="zh-CN"/>
        </w:rPr>
        <w:t>（2）熟悉人工智能模型调优、轻量化处理及边缘部署流程，可将训练完成的模型进行优化迭代并落地为可用的工程应用系统；</w:t>
      </w:r>
    </w:p>
    <w:p w14:paraId="3FE16DE8">
      <w:pPr>
        <w:bidi w:val="0"/>
        <w:rPr>
          <w:rFonts w:hint="default"/>
          <w:lang w:val="en-US" w:eastAsia="zh-CN"/>
        </w:rPr>
      </w:pPr>
      <w:r>
        <w:rPr>
          <w:rFonts w:hint="default"/>
          <w:lang w:val="en-US" w:eastAsia="zh-CN"/>
        </w:rPr>
        <w:t>（3）熟练掌握Python编程语言，能够独立完成数据处理、模型训练、接口调用、功能开发等全流程代码实现工作。</w:t>
      </w:r>
    </w:p>
    <w:p w14:paraId="0C0E9C91">
      <w:pPr>
        <w:bidi w:val="0"/>
        <w:rPr>
          <w:rFonts w:hint="default"/>
          <w:lang w:val="en-US" w:eastAsia="zh-CN"/>
        </w:rPr>
      </w:pPr>
      <w:r>
        <w:rPr>
          <w:rFonts w:hint="default"/>
          <w:lang w:val="en-US" w:eastAsia="zh-CN"/>
        </w:rPr>
        <w:t>3、综合应用能力​</w:t>
      </w:r>
    </w:p>
    <w:p w14:paraId="673627B1">
      <w:pPr>
        <w:bidi w:val="0"/>
        <w:rPr>
          <w:rFonts w:hint="default"/>
          <w:lang w:val="en-US" w:eastAsia="zh-CN"/>
        </w:rPr>
      </w:pPr>
      <w:bookmarkStart w:id="9" w:name="_Toc14261"/>
      <w:bookmarkStart w:id="10" w:name="_Toc9970"/>
      <w:bookmarkStart w:id="11" w:name="_Toc108109222"/>
      <w:r>
        <w:rPr>
          <w:rFonts w:hint="default"/>
          <w:lang w:val="en-US" w:eastAsia="zh-CN"/>
        </w:rPr>
        <w:t>（1）能够结合实际场景，将人工智能训练技术与业务需求深度融合，制定科学合理的模型训练与应用解决方案；</w:t>
      </w:r>
    </w:p>
    <w:p w14:paraId="39933FB5">
      <w:pPr>
        <w:bidi w:val="0"/>
        <w:rPr>
          <w:rFonts w:hint="default"/>
          <w:lang w:val="en-US" w:eastAsia="zh-CN"/>
        </w:rPr>
      </w:pPr>
      <w:r>
        <w:rPr>
          <w:rFonts w:hint="default"/>
          <w:lang w:val="en-US" w:eastAsia="zh-CN"/>
        </w:rPr>
        <w:t>（2）具备较强的问题分析与故障排查能力，能够在训练、推理、部署全流程中快速定位问题，完成模型与系统的调试、优化与迭代；</w:t>
      </w:r>
    </w:p>
    <w:p w14:paraId="41F9059E">
      <w:pPr>
        <w:bidi w:val="0"/>
        <w:rPr>
          <w:rFonts w:hint="default"/>
          <w:lang w:val="en-US" w:eastAsia="zh-CN"/>
        </w:rPr>
      </w:pPr>
      <w:r>
        <w:rPr>
          <w:rFonts w:hint="default"/>
          <w:lang w:val="en-US" w:eastAsia="zh-CN"/>
        </w:rPr>
        <w:t>（3）了解人工智能行业应用发展趋势，贴合区域产业数字化转型需求，具备模型优化创新、场景适配拓展的综合思维。</w:t>
      </w:r>
    </w:p>
    <w:p w14:paraId="70BF3D56">
      <w:pPr>
        <w:pStyle w:val="3"/>
        <w:bidi w:val="0"/>
        <w:rPr>
          <w:rFonts w:hint="default"/>
          <w:lang w:eastAsia="zh-CN"/>
        </w:rPr>
      </w:pPr>
      <w:bookmarkStart w:id="12" w:name="_Toc16209"/>
      <w:r>
        <w:rPr>
          <w:rFonts w:hint="default"/>
          <w:lang w:eastAsia="zh-CN"/>
        </w:rPr>
        <w:t>1.</w:t>
      </w:r>
      <w:r>
        <w:rPr>
          <w:rFonts w:hint="default"/>
          <w:lang w:val="en-US" w:eastAsia="zh-CN"/>
        </w:rPr>
        <w:t>3</w:t>
      </w:r>
      <w:r>
        <w:rPr>
          <w:rFonts w:hint="default"/>
          <w:lang w:eastAsia="zh-CN"/>
        </w:rPr>
        <w:t xml:space="preserve"> 赛项组织形式</w:t>
      </w:r>
      <w:bookmarkEnd w:id="9"/>
      <w:bookmarkEnd w:id="10"/>
      <w:bookmarkEnd w:id="11"/>
      <w:bookmarkEnd w:id="12"/>
    </w:p>
    <w:p w14:paraId="39F581FD">
      <w:pPr>
        <w:bidi w:val="0"/>
        <w:rPr>
          <w:rFonts w:hint="default"/>
          <w:lang w:eastAsia="zh-CN"/>
        </w:rPr>
      </w:pPr>
      <w:r>
        <w:rPr>
          <w:rFonts w:hint="default"/>
          <w:lang w:eastAsia="zh-CN"/>
        </w:rPr>
        <w:t>本赛项为个人赛，赛事共计一场，采用线下集中模式进行。</w:t>
      </w:r>
    </w:p>
    <w:p w14:paraId="1A1A2B05">
      <w:pPr>
        <w:pStyle w:val="2"/>
        <w:bidi w:val="0"/>
        <w:rPr>
          <w:rFonts w:hint="default"/>
          <w:lang w:eastAsia="zh-CN"/>
        </w:rPr>
      </w:pPr>
      <w:bookmarkStart w:id="13" w:name="_Toc22028"/>
      <w:bookmarkStart w:id="14" w:name="_Toc29618"/>
      <w:bookmarkStart w:id="15" w:name="_Toc108109223"/>
      <w:bookmarkStart w:id="16" w:name="_Toc17477"/>
      <w:r>
        <w:rPr>
          <w:rFonts w:hint="eastAsia"/>
          <w:lang w:val="en-US" w:eastAsia="zh-CN"/>
        </w:rPr>
        <w:t>二、竞赛题目</w:t>
      </w:r>
      <w:bookmarkEnd w:id="13"/>
      <w:bookmarkEnd w:id="14"/>
      <w:bookmarkEnd w:id="15"/>
      <w:bookmarkEnd w:id="16"/>
    </w:p>
    <w:p w14:paraId="085F2C8A">
      <w:pPr>
        <w:pStyle w:val="3"/>
        <w:bidi w:val="0"/>
        <w:rPr>
          <w:rFonts w:hint="default"/>
          <w:lang w:eastAsia="zh-CN"/>
        </w:rPr>
      </w:pPr>
      <w:bookmarkStart w:id="17" w:name="_Toc27353"/>
      <w:bookmarkStart w:id="18" w:name="_Toc8456"/>
      <w:bookmarkStart w:id="19" w:name="_Toc108109224"/>
      <w:bookmarkStart w:id="20" w:name="_Toc11793"/>
      <w:r>
        <w:rPr>
          <w:rFonts w:hint="default"/>
          <w:lang w:eastAsia="zh-CN"/>
        </w:rPr>
        <w:t>2.1 竞赛形式</w:t>
      </w:r>
      <w:bookmarkEnd w:id="17"/>
      <w:bookmarkEnd w:id="18"/>
      <w:bookmarkEnd w:id="19"/>
      <w:bookmarkEnd w:id="20"/>
    </w:p>
    <w:p w14:paraId="50ED0A76">
      <w:pPr>
        <w:bidi w:val="0"/>
        <w:rPr>
          <w:rFonts w:hint="default"/>
          <w:lang w:eastAsia="zh-CN"/>
        </w:rPr>
      </w:pPr>
      <w:r>
        <w:rPr>
          <w:rFonts w:hint="default"/>
          <w:lang w:eastAsia="zh-CN"/>
        </w:rPr>
        <w:t>本赛项由理论知识竞赛和实际操作竞赛两部分组成。理论知识竞赛和实际操作竞赛的总成绩为 100 分，其中理论知识竞赛占总成绩的</w:t>
      </w:r>
      <w:r>
        <w:rPr>
          <w:rFonts w:hint="eastAsia"/>
          <w:lang w:val="en-US" w:eastAsia="zh-CN"/>
        </w:rPr>
        <w:t>3</w:t>
      </w:r>
      <w:r>
        <w:rPr>
          <w:rFonts w:hint="default"/>
          <w:lang w:eastAsia="zh-CN"/>
        </w:rPr>
        <w:t>0%，实际操作竞赛占总成绩的</w:t>
      </w:r>
      <w:r>
        <w:rPr>
          <w:rFonts w:hint="eastAsia"/>
          <w:lang w:val="en-US" w:eastAsia="zh-CN"/>
        </w:rPr>
        <w:t>7</w:t>
      </w:r>
      <w:r>
        <w:rPr>
          <w:rFonts w:hint="default"/>
          <w:lang w:eastAsia="zh-CN"/>
        </w:rPr>
        <w:t>0%。</w:t>
      </w:r>
    </w:p>
    <w:p w14:paraId="175A2E02">
      <w:pPr>
        <w:pStyle w:val="3"/>
        <w:bidi w:val="0"/>
        <w:rPr>
          <w:rFonts w:hint="default"/>
          <w:lang w:eastAsia="zh-CN"/>
        </w:rPr>
      </w:pPr>
      <w:bookmarkStart w:id="21" w:name="_Toc22491"/>
      <w:bookmarkStart w:id="22" w:name="_Toc108109226"/>
      <w:bookmarkStart w:id="23" w:name="_Toc1277"/>
      <w:bookmarkStart w:id="24" w:name="_Toc9193"/>
      <w:r>
        <w:rPr>
          <w:rFonts w:hint="default"/>
          <w:lang w:eastAsia="zh-CN"/>
        </w:rPr>
        <w:t>2.</w:t>
      </w:r>
      <w:r>
        <w:rPr>
          <w:rFonts w:hint="eastAsia"/>
          <w:lang w:val="en-US" w:eastAsia="zh-CN"/>
        </w:rPr>
        <w:t>2</w:t>
      </w:r>
      <w:r>
        <w:rPr>
          <w:rFonts w:hint="default"/>
          <w:lang w:eastAsia="zh-CN"/>
        </w:rPr>
        <w:t xml:space="preserve"> </w:t>
      </w:r>
      <w:r>
        <w:rPr>
          <w:rFonts w:hint="default"/>
          <w:lang w:val="en-US" w:eastAsia="zh-CN"/>
        </w:rPr>
        <w:t>竞赛</w:t>
      </w:r>
      <w:r>
        <w:rPr>
          <w:rFonts w:hint="default"/>
          <w:lang w:eastAsia="zh-CN"/>
        </w:rPr>
        <w:t>内容</w:t>
      </w:r>
      <w:bookmarkEnd w:id="21"/>
      <w:bookmarkEnd w:id="22"/>
      <w:bookmarkEnd w:id="23"/>
      <w:bookmarkEnd w:id="24"/>
    </w:p>
    <w:p w14:paraId="24FFCC28">
      <w:pPr>
        <w:bidi w:val="0"/>
        <w:rPr>
          <w:rFonts w:hint="default"/>
          <w:lang w:eastAsia="zh-CN"/>
        </w:rPr>
      </w:pPr>
      <w:r>
        <w:rPr>
          <w:rFonts w:hint="default"/>
          <w:lang w:eastAsia="zh-CN"/>
        </w:rPr>
        <w:t>本竞赛设置理论知识竞赛和实际操作技能比赛两个环节，每个环节成绩满分均为100分。参赛选手均需参加上述两个环节的比赛，选手个人总成绩为理论知识竞赛成绩×</w:t>
      </w:r>
      <w:r>
        <w:rPr>
          <w:rFonts w:hint="eastAsia"/>
          <w:lang w:val="en-US" w:eastAsia="zh-CN"/>
        </w:rPr>
        <w:t>3</w:t>
      </w:r>
      <w:r>
        <w:rPr>
          <w:rFonts w:hint="default"/>
          <w:lang w:eastAsia="zh-CN"/>
        </w:rPr>
        <w:t>0%+实际操作技能比赛成绩×</w:t>
      </w:r>
      <w:r>
        <w:rPr>
          <w:rFonts w:hint="eastAsia"/>
          <w:lang w:val="en-US" w:eastAsia="zh-CN"/>
        </w:rPr>
        <w:t>7</w:t>
      </w:r>
      <w:r>
        <w:rPr>
          <w:rFonts w:hint="default"/>
          <w:lang w:eastAsia="zh-CN"/>
        </w:rPr>
        <w:t>0%。</w:t>
      </w:r>
    </w:p>
    <w:p w14:paraId="3CB554C0">
      <w:pPr>
        <w:bidi w:val="0"/>
        <w:rPr>
          <w:rFonts w:hint="default"/>
          <w:lang w:eastAsia="zh-CN"/>
        </w:rPr>
      </w:pPr>
      <w:r>
        <w:rPr>
          <w:rFonts w:hint="default"/>
          <w:lang w:eastAsia="zh-CN"/>
        </w:rPr>
        <w:t>本次比赛时间总计4.5小时，其中理论知识考试90分钟（闭卷），实际操作竞赛3小时。</w:t>
      </w:r>
    </w:p>
    <w:tbl>
      <w:tblPr>
        <w:tblStyle w:val="20"/>
        <w:tblW w:w="45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3206"/>
        <w:gridCol w:w="1192"/>
        <w:gridCol w:w="1188"/>
        <w:gridCol w:w="1505"/>
      </w:tblGrid>
      <w:tr w14:paraId="6A09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tcBorders>
              <w:top w:val="single" w:color="auto" w:sz="4" w:space="0"/>
              <w:left w:val="single" w:color="auto" w:sz="4" w:space="0"/>
              <w:bottom w:val="single" w:color="auto" w:sz="4" w:space="0"/>
              <w:right w:val="single" w:color="auto" w:sz="4" w:space="0"/>
            </w:tcBorders>
            <w:vAlign w:val="center"/>
          </w:tcPr>
          <w:p w14:paraId="49CBFF55">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eastAsia="zh-CN"/>
              </w:rPr>
            </w:pPr>
            <w:r>
              <w:rPr>
                <w:rFonts w:hint="default" w:ascii="Times New Roman" w:hAnsi="Times New Roman" w:eastAsia="仿宋_GB2312" w:cs="Times New Roman"/>
                <w:b/>
                <w:bCs/>
                <w:spacing w:val="-1"/>
                <w:sz w:val="24"/>
                <w:szCs w:val="24"/>
                <w:lang w:val="en-US" w:eastAsia="zh-CN"/>
              </w:rPr>
              <w:t>模块</w:t>
            </w:r>
          </w:p>
        </w:tc>
        <w:tc>
          <w:tcPr>
            <w:tcW w:w="3168" w:type="dxa"/>
            <w:tcBorders>
              <w:top w:val="single" w:color="auto" w:sz="4" w:space="0"/>
              <w:left w:val="single" w:color="auto" w:sz="4" w:space="0"/>
              <w:bottom w:val="single" w:color="auto" w:sz="4" w:space="0"/>
              <w:right w:val="single" w:color="auto" w:sz="4" w:space="0"/>
            </w:tcBorders>
            <w:vAlign w:val="center"/>
          </w:tcPr>
          <w:p w14:paraId="2436A8C6">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eastAsia="zh-CN"/>
              </w:rPr>
            </w:pPr>
            <w:r>
              <w:rPr>
                <w:rFonts w:hint="default" w:ascii="Times New Roman" w:hAnsi="Times New Roman" w:eastAsia="仿宋_GB2312" w:cs="Times New Roman"/>
                <w:b/>
                <w:bCs/>
                <w:spacing w:val="-1"/>
                <w:sz w:val="24"/>
                <w:szCs w:val="24"/>
                <w:lang w:eastAsia="zh-CN"/>
              </w:rPr>
              <w:t>模块名称</w:t>
            </w:r>
          </w:p>
        </w:tc>
        <w:tc>
          <w:tcPr>
            <w:tcW w:w="1178" w:type="dxa"/>
            <w:tcBorders>
              <w:top w:val="single" w:color="auto" w:sz="4" w:space="0"/>
              <w:left w:val="single" w:color="auto" w:sz="4" w:space="0"/>
              <w:bottom w:val="single" w:color="auto" w:sz="4" w:space="0"/>
              <w:right w:val="single" w:color="auto" w:sz="4" w:space="0"/>
            </w:tcBorders>
            <w:vAlign w:val="center"/>
          </w:tcPr>
          <w:p w14:paraId="472E8FFB">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eastAsia="zh-CN"/>
              </w:rPr>
            </w:pPr>
            <w:r>
              <w:rPr>
                <w:rFonts w:hint="default" w:ascii="Times New Roman" w:hAnsi="Times New Roman" w:eastAsia="仿宋_GB2312" w:cs="Times New Roman"/>
                <w:b/>
                <w:bCs/>
                <w:spacing w:val="-1"/>
                <w:sz w:val="24"/>
                <w:szCs w:val="24"/>
                <w:lang w:eastAsia="zh-CN"/>
              </w:rPr>
              <w:t>时长</w:t>
            </w:r>
          </w:p>
        </w:tc>
        <w:tc>
          <w:tcPr>
            <w:tcW w:w="1174" w:type="dxa"/>
            <w:tcBorders>
              <w:top w:val="single" w:color="auto" w:sz="4" w:space="0"/>
              <w:left w:val="single" w:color="auto" w:sz="4" w:space="0"/>
              <w:bottom w:val="single" w:color="auto" w:sz="4" w:space="0"/>
              <w:right w:val="single" w:color="auto" w:sz="4" w:space="0"/>
            </w:tcBorders>
            <w:vAlign w:val="center"/>
          </w:tcPr>
          <w:p w14:paraId="49120102">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US" w:eastAsia="zh-CN"/>
              </w:rPr>
            </w:pPr>
            <w:r>
              <w:rPr>
                <w:rFonts w:hint="default" w:ascii="Times New Roman" w:hAnsi="Times New Roman" w:eastAsia="仿宋_GB2312" w:cs="Times New Roman"/>
                <w:b/>
                <w:bCs/>
                <w:spacing w:val="-1"/>
                <w:sz w:val="24"/>
                <w:szCs w:val="24"/>
                <w:lang w:val="en-US" w:eastAsia="zh-CN"/>
              </w:rPr>
              <w:t>总分</w:t>
            </w:r>
          </w:p>
        </w:tc>
        <w:tc>
          <w:tcPr>
            <w:tcW w:w="1486" w:type="dxa"/>
            <w:tcBorders>
              <w:top w:val="single" w:color="auto" w:sz="4" w:space="0"/>
              <w:left w:val="single" w:color="auto" w:sz="4" w:space="0"/>
              <w:bottom w:val="single" w:color="auto" w:sz="4" w:space="0"/>
              <w:right w:val="single" w:color="auto" w:sz="4" w:space="0"/>
            </w:tcBorders>
            <w:vAlign w:val="center"/>
          </w:tcPr>
          <w:p w14:paraId="2402D1F2">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US" w:eastAsia="zh-CN"/>
              </w:rPr>
            </w:pPr>
            <w:r>
              <w:rPr>
                <w:rFonts w:hint="default" w:ascii="Times New Roman" w:hAnsi="Times New Roman" w:eastAsia="仿宋_GB2312" w:cs="Times New Roman"/>
                <w:b/>
                <w:bCs/>
                <w:spacing w:val="-1"/>
                <w:sz w:val="24"/>
                <w:szCs w:val="24"/>
                <w:lang w:eastAsia="zh-CN"/>
              </w:rPr>
              <w:t>分值</w:t>
            </w:r>
            <w:r>
              <w:rPr>
                <w:rFonts w:hint="default" w:ascii="Times New Roman" w:hAnsi="Times New Roman" w:eastAsia="仿宋_GB2312" w:cs="Times New Roman"/>
                <w:b/>
                <w:bCs/>
                <w:spacing w:val="-1"/>
                <w:sz w:val="24"/>
                <w:szCs w:val="24"/>
                <w:lang w:val="en-US" w:eastAsia="zh-CN"/>
              </w:rPr>
              <w:t>占比</w:t>
            </w:r>
          </w:p>
        </w:tc>
      </w:tr>
      <w:tr w14:paraId="19BD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tcBorders>
              <w:top w:val="single" w:color="auto" w:sz="4" w:space="0"/>
              <w:left w:val="single" w:color="auto" w:sz="4" w:space="0"/>
              <w:bottom w:val="single" w:color="auto" w:sz="4" w:space="0"/>
              <w:right w:val="single" w:color="auto" w:sz="4" w:space="0"/>
            </w:tcBorders>
            <w:vAlign w:val="center"/>
          </w:tcPr>
          <w:p w14:paraId="2D0D810D">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eastAsia="zh-CN"/>
              </w:rPr>
            </w:pPr>
            <w:r>
              <w:rPr>
                <w:rFonts w:hint="default" w:ascii="Times New Roman" w:hAnsi="Times New Roman" w:eastAsia="仿宋_GB2312" w:cs="Times New Roman"/>
                <w:spacing w:val="-1"/>
                <w:sz w:val="24"/>
                <w:szCs w:val="24"/>
                <w:lang w:val="en-US" w:eastAsia="zh-CN"/>
              </w:rPr>
              <w:t>A</w:t>
            </w:r>
          </w:p>
        </w:tc>
        <w:tc>
          <w:tcPr>
            <w:tcW w:w="3168" w:type="dxa"/>
            <w:tcBorders>
              <w:top w:val="single" w:color="auto" w:sz="4" w:space="0"/>
              <w:left w:val="single" w:color="auto" w:sz="4" w:space="0"/>
              <w:bottom w:val="single" w:color="auto" w:sz="4" w:space="0"/>
              <w:right w:val="single" w:color="auto" w:sz="4" w:space="0"/>
            </w:tcBorders>
            <w:vAlign w:val="center"/>
          </w:tcPr>
          <w:p w14:paraId="737FB5E5">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人工智能理论知识考核</w:t>
            </w:r>
          </w:p>
        </w:tc>
        <w:tc>
          <w:tcPr>
            <w:tcW w:w="1178" w:type="dxa"/>
            <w:tcBorders>
              <w:top w:val="single" w:color="auto" w:sz="4" w:space="0"/>
              <w:left w:val="single" w:color="auto" w:sz="4" w:space="0"/>
              <w:right w:val="single" w:color="auto" w:sz="4" w:space="0"/>
            </w:tcBorders>
            <w:vAlign w:val="center"/>
          </w:tcPr>
          <w:p w14:paraId="2E9792D2">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eastAsia="zh-CN"/>
              </w:rPr>
            </w:pPr>
            <w:r>
              <w:rPr>
                <w:rFonts w:hint="default" w:ascii="Times New Roman" w:hAnsi="Times New Roman" w:eastAsia="仿宋_GB2312" w:cs="Times New Roman"/>
                <w:spacing w:val="-1"/>
                <w:sz w:val="24"/>
                <w:szCs w:val="24"/>
                <w:lang w:val="en-US" w:eastAsia="zh-CN"/>
              </w:rPr>
              <w:t>90分钟</w:t>
            </w:r>
          </w:p>
        </w:tc>
        <w:tc>
          <w:tcPr>
            <w:tcW w:w="1174" w:type="dxa"/>
            <w:tcBorders>
              <w:top w:val="single" w:color="auto" w:sz="4" w:space="0"/>
              <w:left w:val="single" w:color="auto" w:sz="4" w:space="0"/>
              <w:bottom w:val="single" w:color="auto" w:sz="4" w:space="0"/>
              <w:right w:val="single" w:color="auto" w:sz="4" w:space="0"/>
            </w:tcBorders>
            <w:vAlign w:val="center"/>
          </w:tcPr>
          <w:p w14:paraId="5A94313B">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100</w:t>
            </w:r>
          </w:p>
        </w:tc>
        <w:tc>
          <w:tcPr>
            <w:tcW w:w="1486" w:type="dxa"/>
            <w:tcBorders>
              <w:top w:val="single" w:color="auto" w:sz="4" w:space="0"/>
              <w:left w:val="single" w:color="auto" w:sz="4" w:space="0"/>
              <w:bottom w:val="single" w:color="auto" w:sz="4" w:space="0"/>
              <w:right w:val="single" w:color="auto" w:sz="4" w:space="0"/>
            </w:tcBorders>
            <w:vAlign w:val="center"/>
          </w:tcPr>
          <w:p w14:paraId="11B4A8AC">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eastAsia" w:cs="Times New Roman"/>
                <w:spacing w:val="-1"/>
                <w:sz w:val="24"/>
                <w:szCs w:val="24"/>
                <w:lang w:val="en-US" w:eastAsia="zh-CN"/>
              </w:rPr>
              <w:t>30%</w:t>
            </w:r>
          </w:p>
        </w:tc>
      </w:tr>
      <w:tr w14:paraId="2B76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tcBorders>
              <w:top w:val="single" w:color="auto" w:sz="4" w:space="0"/>
              <w:left w:val="single" w:color="auto" w:sz="4" w:space="0"/>
              <w:bottom w:val="single" w:color="auto" w:sz="4" w:space="0"/>
              <w:right w:val="single" w:color="auto" w:sz="4" w:space="0"/>
            </w:tcBorders>
            <w:vAlign w:val="center"/>
          </w:tcPr>
          <w:p w14:paraId="391F83BD">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B</w:t>
            </w:r>
          </w:p>
        </w:tc>
        <w:tc>
          <w:tcPr>
            <w:tcW w:w="3168" w:type="dxa"/>
            <w:tcBorders>
              <w:top w:val="single" w:color="auto" w:sz="4" w:space="0"/>
              <w:left w:val="single" w:color="auto" w:sz="4" w:space="0"/>
              <w:bottom w:val="single" w:color="auto" w:sz="4" w:space="0"/>
              <w:right w:val="single" w:color="auto" w:sz="4" w:space="0"/>
            </w:tcBorders>
            <w:vAlign w:val="center"/>
          </w:tcPr>
          <w:p w14:paraId="70C00E0D">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人工智能</w:t>
            </w:r>
            <w:r>
              <w:rPr>
                <w:rFonts w:hint="eastAsia" w:cs="Times New Roman"/>
                <w:spacing w:val="-1"/>
                <w:sz w:val="24"/>
                <w:szCs w:val="24"/>
                <w:lang w:val="en-US" w:eastAsia="zh-CN"/>
              </w:rPr>
              <w:t>训练</w:t>
            </w:r>
            <w:r>
              <w:rPr>
                <w:rFonts w:hint="default" w:ascii="Times New Roman" w:hAnsi="Times New Roman" w:eastAsia="仿宋_GB2312" w:cs="Times New Roman"/>
                <w:spacing w:val="-1"/>
                <w:sz w:val="24"/>
                <w:szCs w:val="24"/>
                <w:lang w:val="en-US" w:eastAsia="zh-CN"/>
              </w:rPr>
              <w:t>实际操作考核</w:t>
            </w:r>
          </w:p>
        </w:tc>
        <w:tc>
          <w:tcPr>
            <w:tcW w:w="1178" w:type="dxa"/>
            <w:tcBorders>
              <w:left w:val="single" w:color="auto" w:sz="4" w:space="0"/>
              <w:right w:val="single" w:color="auto" w:sz="4" w:space="0"/>
            </w:tcBorders>
            <w:vAlign w:val="center"/>
          </w:tcPr>
          <w:p w14:paraId="74F6D150">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180分钟</w:t>
            </w:r>
          </w:p>
        </w:tc>
        <w:tc>
          <w:tcPr>
            <w:tcW w:w="1174" w:type="dxa"/>
            <w:tcBorders>
              <w:top w:val="single" w:color="auto" w:sz="4" w:space="0"/>
              <w:left w:val="single" w:color="auto" w:sz="4" w:space="0"/>
              <w:bottom w:val="single" w:color="auto" w:sz="4" w:space="0"/>
              <w:right w:val="single" w:color="auto" w:sz="4" w:space="0"/>
            </w:tcBorders>
            <w:vAlign w:val="center"/>
          </w:tcPr>
          <w:p w14:paraId="59C2B286">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100</w:t>
            </w:r>
          </w:p>
        </w:tc>
        <w:tc>
          <w:tcPr>
            <w:tcW w:w="1486" w:type="dxa"/>
            <w:tcBorders>
              <w:top w:val="single" w:color="auto" w:sz="4" w:space="0"/>
              <w:left w:val="single" w:color="auto" w:sz="4" w:space="0"/>
              <w:bottom w:val="single" w:color="auto" w:sz="4" w:space="0"/>
              <w:right w:val="single" w:color="auto" w:sz="4" w:space="0"/>
            </w:tcBorders>
            <w:vAlign w:val="center"/>
          </w:tcPr>
          <w:p w14:paraId="4F827EEC">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eastAsia" w:eastAsia="仿宋_GB2312" w:cs="Times New Roman"/>
                <w:spacing w:val="-1"/>
                <w:sz w:val="24"/>
                <w:szCs w:val="24"/>
                <w:lang w:val="en-US" w:eastAsia="zh-CN"/>
              </w:rPr>
              <w:t>7</w:t>
            </w:r>
            <w:r>
              <w:rPr>
                <w:rFonts w:hint="default" w:ascii="Times New Roman" w:hAnsi="Times New Roman" w:eastAsia="仿宋_GB2312" w:cs="Times New Roman"/>
                <w:spacing w:val="-1"/>
                <w:sz w:val="24"/>
                <w:szCs w:val="24"/>
                <w:lang w:val="en-US" w:eastAsia="zh-CN"/>
              </w:rPr>
              <w:t>0</w:t>
            </w:r>
            <w:r>
              <w:rPr>
                <w:rFonts w:hint="eastAsia" w:cs="Times New Roman"/>
                <w:spacing w:val="-1"/>
                <w:sz w:val="24"/>
                <w:szCs w:val="24"/>
                <w:lang w:val="en-US" w:eastAsia="zh-CN"/>
              </w:rPr>
              <w:t>%</w:t>
            </w:r>
          </w:p>
        </w:tc>
      </w:tr>
    </w:tbl>
    <w:p w14:paraId="520627D4">
      <w:pPr>
        <w:bidi w:val="0"/>
        <w:rPr>
          <w:rFonts w:hint="default"/>
          <w:lang w:val="en-US" w:eastAsia="zh-CN"/>
        </w:rPr>
      </w:pPr>
      <w:r>
        <w:rPr>
          <w:rFonts w:hint="default"/>
          <w:lang w:val="en-US" w:eastAsia="zh-CN"/>
        </w:rPr>
        <w:t>竞赛试题各模块主要考核内容：</w:t>
      </w:r>
    </w:p>
    <w:tbl>
      <w:tblPr>
        <w:tblStyle w:val="20"/>
        <w:tblW w:w="46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6"/>
        <w:gridCol w:w="6784"/>
      </w:tblGrid>
      <w:tr w14:paraId="3957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2" w:type="dxa"/>
            <w:tcBorders>
              <w:top w:val="single" w:color="auto" w:sz="4" w:space="0"/>
              <w:left w:val="single" w:color="auto" w:sz="4" w:space="0"/>
              <w:bottom w:val="single" w:color="auto" w:sz="4" w:space="0"/>
              <w:right w:val="single" w:color="auto" w:sz="4" w:space="0"/>
            </w:tcBorders>
            <w:vAlign w:val="center"/>
          </w:tcPr>
          <w:p w14:paraId="30081579">
            <w:pPr>
              <w:pStyle w:val="8"/>
              <w:widowControl w:val="0"/>
              <w:spacing w:before="91" w:line="216" w:lineRule="auto"/>
              <w:jc w:val="center"/>
              <w:rPr>
                <w:rFonts w:hint="eastAsia" w:ascii="仿宋" w:hAnsi="仿宋" w:eastAsia="仿宋" w:cs="仿宋"/>
                <w:b/>
                <w:bCs/>
                <w:spacing w:val="-1"/>
                <w:sz w:val="24"/>
                <w:szCs w:val="24"/>
                <w:lang w:eastAsia="zh-CN"/>
              </w:rPr>
            </w:pPr>
            <w:r>
              <w:rPr>
                <w:rFonts w:hint="eastAsia" w:ascii="仿宋" w:hAnsi="仿宋" w:eastAsia="仿宋" w:cs="仿宋"/>
                <w:b/>
                <w:bCs/>
                <w:spacing w:val="-1"/>
                <w:sz w:val="24"/>
                <w:szCs w:val="24"/>
                <w:lang w:eastAsia="zh-CN"/>
              </w:rPr>
              <w:t>考核模块</w:t>
            </w:r>
          </w:p>
        </w:tc>
        <w:tc>
          <w:tcPr>
            <w:tcW w:w="6702" w:type="dxa"/>
            <w:tcBorders>
              <w:top w:val="single" w:color="auto" w:sz="4" w:space="0"/>
              <w:left w:val="single" w:color="auto" w:sz="4" w:space="0"/>
              <w:bottom w:val="single" w:color="auto" w:sz="4" w:space="0"/>
              <w:right w:val="single" w:color="auto" w:sz="4" w:space="0"/>
            </w:tcBorders>
            <w:vAlign w:val="center"/>
          </w:tcPr>
          <w:p w14:paraId="447EE4E3">
            <w:pPr>
              <w:pStyle w:val="8"/>
              <w:widowControl w:val="0"/>
              <w:spacing w:before="91" w:line="216" w:lineRule="auto"/>
              <w:jc w:val="center"/>
              <w:rPr>
                <w:rFonts w:hint="eastAsia" w:ascii="仿宋" w:hAnsi="仿宋" w:eastAsia="仿宋" w:cs="仿宋"/>
                <w:b/>
                <w:bCs/>
                <w:spacing w:val="-1"/>
                <w:sz w:val="24"/>
                <w:szCs w:val="24"/>
                <w:lang w:eastAsia="zh-CN"/>
              </w:rPr>
            </w:pPr>
            <w:r>
              <w:rPr>
                <w:rFonts w:hint="eastAsia" w:ascii="仿宋" w:hAnsi="仿宋" w:eastAsia="仿宋" w:cs="仿宋"/>
                <w:b/>
                <w:bCs/>
                <w:spacing w:val="-1"/>
                <w:sz w:val="24"/>
                <w:szCs w:val="24"/>
                <w:lang w:eastAsia="zh-CN"/>
              </w:rPr>
              <w:t>考核主要内容</w:t>
            </w:r>
          </w:p>
        </w:tc>
      </w:tr>
      <w:tr w14:paraId="3090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52" w:type="dxa"/>
            <w:tcBorders>
              <w:top w:val="single" w:color="auto" w:sz="4" w:space="0"/>
              <w:left w:val="single" w:color="auto" w:sz="4" w:space="0"/>
              <w:bottom w:val="single" w:color="auto" w:sz="4" w:space="0"/>
              <w:right w:val="single" w:color="auto" w:sz="4" w:space="0"/>
            </w:tcBorders>
            <w:vAlign w:val="center"/>
          </w:tcPr>
          <w:p w14:paraId="1C4BB3F2">
            <w:pPr>
              <w:pStyle w:val="8"/>
              <w:widowControl w:val="0"/>
              <w:spacing w:before="91" w:line="216" w:lineRule="auto"/>
              <w:ind w:left="0" w:leftChars="0" w:firstLine="0" w:firstLineChars="0"/>
              <w:jc w:val="center"/>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模块A：</w:t>
            </w:r>
          </w:p>
          <w:p w14:paraId="05197D18">
            <w:pPr>
              <w:pStyle w:val="8"/>
              <w:widowControl w:val="0"/>
              <w:spacing w:before="91" w:line="216" w:lineRule="auto"/>
              <w:ind w:left="0" w:leftChars="0" w:firstLine="0" w:firstLineChars="0"/>
              <w:jc w:val="center"/>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人工智能理论知识考核</w:t>
            </w:r>
          </w:p>
        </w:tc>
        <w:tc>
          <w:tcPr>
            <w:tcW w:w="6702" w:type="dxa"/>
            <w:tcBorders>
              <w:top w:val="single" w:color="auto" w:sz="4" w:space="0"/>
              <w:left w:val="single" w:color="auto" w:sz="4" w:space="0"/>
              <w:bottom w:val="single" w:color="auto" w:sz="4" w:space="0"/>
              <w:right w:val="single" w:color="auto" w:sz="4" w:space="0"/>
            </w:tcBorders>
            <w:vAlign w:val="center"/>
          </w:tcPr>
          <w:p w14:paraId="432AEC77">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（1）人工智能基础理论，包括机器学习、深度学习、自然语言处理、计算机视觉等基本概念、原理和算法。例如决策树、神经网络等常见机器学习算法的原理及应用场景；</w:t>
            </w:r>
          </w:p>
          <w:p w14:paraId="72E58682">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（2）编程语言与工具，主要涉及 Python 语言编程基础，以及常用的人工智能开发框架如 TensorFlow、PyTorch 等；​</w:t>
            </w:r>
          </w:p>
          <w:p w14:paraId="4DDAF477">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（3）数据处理与分析，涵盖数据采集、清洗、标注、存储和分析等方面的知识；</w:t>
            </w:r>
          </w:p>
          <w:p w14:paraId="725D34E7">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（4）行业应用知识，包括人工智能在制造业、金融、医疗、物流等行业的应用案例和解决方案。‌</w:t>
            </w:r>
          </w:p>
        </w:tc>
      </w:tr>
      <w:tr w14:paraId="0DFC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2" w:type="dxa"/>
            <w:tcBorders>
              <w:top w:val="single" w:color="auto" w:sz="4" w:space="0"/>
              <w:left w:val="single" w:color="auto" w:sz="4" w:space="0"/>
              <w:bottom w:val="single" w:color="auto" w:sz="4" w:space="0"/>
              <w:right w:val="single" w:color="auto" w:sz="4" w:space="0"/>
            </w:tcBorders>
            <w:vAlign w:val="center"/>
          </w:tcPr>
          <w:p w14:paraId="0505DB07">
            <w:pPr>
              <w:pStyle w:val="8"/>
              <w:widowControl w:val="0"/>
              <w:spacing w:before="91" w:line="216" w:lineRule="auto"/>
              <w:ind w:left="0" w:leftChars="0" w:firstLine="0" w:firstLineChars="0"/>
              <w:jc w:val="center"/>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模块B：</w:t>
            </w:r>
          </w:p>
          <w:p w14:paraId="75D1A04F">
            <w:pPr>
              <w:pStyle w:val="8"/>
              <w:widowControl w:val="0"/>
              <w:spacing w:before="91" w:line="216" w:lineRule="auto"/>
              <w:ind w:left="0" w:leftChars="0" w:firstLine="0" w:firstLineChars="0"/>
              <w:jc w:val="center"/>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人工智能训练实际操作考核</w:t>
            </w:r>
          </w:p>
        </w:tc>
        <w:tc>
          <w:tcPr>
            <w:tcW w:w="6702" w:type="dxa"/>
            <w:tcBorders>
              <w:top w:val="single" w:color="auto" w:sz="4" w:space="0"/>
              <w:left w:val="single" w:color="auto" w:sz="4" w:space="0"/>
              <w:bottom w:val="single" w:color="auto" w:sz="4" w:space="0"/>
              <w:right w:val="single" w:color="auto" w:sz="4" w:space="0"/>
            </w:tcBorders>
            <w:vAlign w:val="center"/>
          </w:tcPr>
          <w:p w14:paraId="46AE0479">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自然语言处理技术应用：完成文本数据规范化预处理、文本特征处理与数据适配工作，结合任务需求选用适配的预训练模型，完成参数配置、模型训练与优化，调用训练完成的模型对文本数据进行推理预测，输出有效结果。</w:t>
            </w:r>
          </w:p>
          <w:p w14:paraId="19B573D9">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2）计算机视觉技术应用：完成视觉数据清洗、标注规整、数据集筛选与增强优化等训练前置处理工作，基于卷积神经网络开展视觉模型训练与参数调优，持续优化模型精度与泛化能力，结合场景任务对模型推理效果进行评测分析，针对模型缺陷开展迭代优化，适配真实智能应用场景的使用标准。</w:t>
            </w:r>
          </w:p>
          <w:p w14:paraId="6B4D52DD">
            <w:pPr>
              <w:pStyle w:val="8"/>
              <w:widowControl w:val="0"/>
              <w:spacing w:before="91" w:line="216" w:lineRule="auto"/>
              <w:ind w:left="0" w:leftChars="0" w:firstLine="0" w:firstLineChars="0"/>
              <w:jc w:val="both"/>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3）综合工程技术应用：结合实际应用场景筛选适配的预训练模型，根据终端应用需求完成模型轻量化适配与性能优化，依托训练平台完成模型固化与适配调试，通过模型接口调用完成推理效果验证，结合业务指标开展模型综合评测、问题整改与迭代优化，实现模型可落地、可复用的智能化训练成果输出。</w:t>
            </w:r>
          </w:p>
        </w:tc>
      </w:tr>
    </w:tbl>
    <w:p w14:paraId="53607AC0">
      <w:pPr>
        <w:pStyle w:val="3"/>
        <w:bidi w:val="0"/>
        <w:rPr>
          <w:rFonts w:hint="default" w:ascii="Times New Roman" w:hAnsi="Times New Roman"/>
          <w:lang w:val="en-US" w:eastAsia="zh-CN"/>
        </w:rPr>
      </w:pPr>
      <w:bookmarkStart w:id="25" w:name="_Toc108109227"/>
      <w:bookmarkStart w:id="26" w:name="_Toc13777"/>
      <w:bookmarkStart w:id="27" w:name="_Toc26758"/>
      <w:bookmarkStart w:id="28" w:name="_Toc19205"/>
      <w:r>
        <w:rPr>
          <w:rFonts w:hint="default" w:ascii="Times New Roman" w:hAnsi="Times New Roman"/>
          <w:lang w:val="en-US" w:eastAsia="zh-CN"/>
        </w:rPr>
        <w:t>2.</w:t>
      </w:r>
      <w:r>
        <w:rPr>
          <w:rFonts w:hint="eastAsia" w:ascii="Times New Roman" w:hAnsi="Times New Roman"/>
          <w:lang w:val="en-US" w:eastAsia="zh-CN"/>
        </w:rPr>
        <w:t>3</w:t>
      </w:r>
      <w:r>
        <w:rPr>
          <w:rFonts w:hint="default" w:ascii="Times New Roman" w:hAnsi="Times New Roman"/>
          <w:lang w:val="en-US" w:eastAsia="zh-CN"/>
        </w:rPr>
        <w:t xml:space="preserve"> 竞赛</w:t>
      </w:r>
      <w:bookmarkEnd w:id="25"/>
      <w:bookmarkEnd w:id="26"/>
      <w:bookmarkEnd w:id="27"/>
      <w:r>
        <w:rPr>
          <w:rFonts w:hint="eastAsia" w:ascii="Times New Roman" w:hAnsi="Times New Roman"/>
          <w:lang w:val="en-US" w:eastAsia="zh-CN"/>
        </w:rPr>
        <w:t>部分样题</w:t>
      </w:r>
      <w:bookmarkEnd w:id="28"/>
    </w:p>
    <w:p w14:paraId="53230C63">
      <w:pPr>
        <w:pStyle w:val="4"/>
        <w:bidi w:val="0"/>
        <w:rPr>
          <w:rFonts w:hint="eastAsia"/>
          <w:lang w:val="en-US" w:eastAsia="zh-CN"/>
        </w:rPr>
      </w:pPr>
      <w:bookmarkStart w:id="29" w:name="_Toc29883"/>
      <w:bookmarkStart w:id="30" w:name="_Toc19278"/>
      <w:bookmarkStart w:id="31" w:name="_Toc7628"/>
      <w:bookmarkStart w:id="32" w:name="_Toc108109228"/>
      <w:bookmarkStart w:id="33" w:name="_Toc16355"/>
      <w:bookmarkStart w:id="34" w:name="_Toc107987966"/>
      <w:r>
        <w:rPr>
          <w:rFonts w:hint="eastAsia"/>
          <w:lang w:val="en-US" w:eastAsia="zh-CN"/>
        </w:rPr>
        <w:t>2.3.1 理论考核</w:t>
      </w:r>
      <w:bookmarkEnd w:id="29"/>
    </w:p>
    <w:bookmarkEnd w:id="30"/>
    <w:p w14:paraId="446FBD8B">
      <w:pPr>
        <w:bidi w:val="0"/>
        <w:rPr>
          <w:rFonts w:hint="default"/>
          <w:lang w:val="en-US" w:eastAsia="zh-CN"/>
        </w:rPr>
      </w:pPr>
      <w:r>
        <w:rPr>
          <w:rFonts w:hint="eastAsia"/>
          <w:lang w:val="en-US" w:eastAsia="zh-CN"/>
        </w:rPr>
        <w:t>国家题库抽取与专家命题相结合，围绕人工智能技术的基本要求和工作要求制订。难度为中级工及以上水平（部分按高级工要求），分单选、多选、判断题，比赛时间为90分钟。题型参考如下：</w:t>
      </w:r>
    </w:p>
    <w:p w14:paraId="3BD33F0C">
      <w:pPr>
        <w:bidi w:val="0"/>
        <w:rPr>
          <w:rFonts w:hint="eastAsia"/>
          <w:lang w:val="en-US" w:eastAsia="zh-CN"/>
        </w:rPr>
      </w:pPr>
      <w:r>
        <w:rPr>
          <w:rFonts w:hint="default"/>
          <w:lang w:val="en-US" w:eastAsia="zh-CN"/>
        </w:rPr>
        <w:t>1</w:t>
      </w:r>
      <w:r>
        <w:rPr>
          <w:rFonts w:hint="eastAsia"/>
          <w:lang w:val="en-US" w:eastAsia="zh-CN"/>
        </w:rPr>
        <w:t xml:space="preserve">、【单项选择题】下列不属于监督学习算法的是（） </w:t>
      </w:r>
    </w:p>
    <w:p w14:paraId="1816CFE8">
      <w:pPr>
        <w:bidi w:val="0"/>
        <w:rPr>
          <w:rFonts w:hint="eastAsia"/>
          <w:lang w:val="en-US" w:eastAsia="zh-CN"/>
        </w:rPr>
      </w:pPr>
      <w:r>
        <w:rPr>
          <w:rFonts w:hint="eastAsia"/>
          <w:lang w:val="en-US" w:eastAsia="zh-CN"/>
        </w:rPr>
        <w:t xml:space="preserve">A、逻辑回归 </w:t>
      </w:r>
    </w:p>
    <w:p w14:paraId="61A7C3E0">
      <w:pPr>
        <w:bidi w:val="0"/>
        <w:rPr>
          <w:rFonts w:hint="eastAsia"/>
          <w:lang w:val="en-US" w:eastAsia="zh-CN"/>
        </w:rPr>
      </w:pPr>
      <w:r>
        <w:rPr>
          <w:rFonts w:hint="eastAsia"/>
          <w:lang w:val="en-US" w:eastAsia="zh-CN"/>
        </w:rPr>
        <w:t>B、K</w:t>
      </w:r>
      <w:r>
        <w:rPr>
          <w:rFonts w:hint="eastAsia"/>
          <w:lang w:val="en-US" w:eastAsia="zh-CN"/>
        </w:rPr>
        <w:noBreakHyphen/>
      </w:r>
      <w:r>
        <w:rPr>
          <w:rFonts w:hint="eastAsia"/>
          <w:lang w:val="en-US" w:eastAsia="zh-CN"/>
        </w:rPr>
        <w:t xml:space="preserve">means 聚类 </w:t>
      </w:r>
    </w:p>
    <w:p w14:paraId="30BE1AC0">
      <w:pPr>
        <w:bidi w:val="0"/>
        <w:rPr>
          <w:rFonts w:hint="eastAsia"/>
          <w:lang w:val="en-US" w:eastAsia="zh-CN"/>
        </w:rPr>
      </w:pPr>
      <w:r>
        <w:rPr>
          <w:rFonts w:hint="eastAsia"/>
          <w:lang w:val="en-US" w:eastAsia="zh-CN"/>
        </w:rPr>
        <w:t xml:space="preserve">C、支持向量机 SVM </w:t>
      </w:r>
    </w:p>
    <w:p w14:paraId="0E2073E6">
      <w:pPr>
        <w:bidi w:val="0"/>
        <w:rPr>
          <w:rFonts w:hint="eastAsia"/>
          <w:lang w:val="en-US" w:eastAsia="zh-CN"/>
        </w:rPr>
      </w:pPr>
      <w:r>
        <w:rPr>
          <w:rFonts w:hint="eastAsia"/>
          <w:lang w:val="en-US" w:eastAsia="zh-CN"/>
        </w:rPr>
        <w:t>D、卷积神经网络 CNN</w:t>
      </w:r>
    </w:p>
    <w:p w14:paraId="49242F03">
      <w:pPr>
        <w:bidi w:val="0"/>
        <w:rPr>
          <w:rFonts w:hint="eastAsia"/>
          <w:lang w:val="en-US" w:eastAsia="zh-CN"/>
        </w:rPr>
      </w:pPr>
      <w:r>
        <w:rPr>
          <w:rFonts w:hint="eastAsia"/>
          <w:lang w:val="en-US" w:eastAsia="zh-CN"/>
        </w:rPr>
        <w:t xml:space="preserve">2、【多项选择题】关于神经网络中激活函数，说法正确的有（） </w:t>
      </w:r>
    </w:p>
    <w:p w14:paraId="45007E5C">
      <w:pPr>
        <w:bidi w:val="0"/>
        <w:rPr>
          <w:rFonts w:hint="eastAsia"/>
          <w:lang w:val="en-US" w:eastAsia="zh-CN"/>
        </w:rPr>
      </w:pPr>
      <w:r>
        <w:rPr>
          <w:rFonts w:hint="eastAsia"/>
          <w:lang w:val="en-US" w:eastAsia="zh-CN"/>
        </w:rPr>
        <w:t xml:space="preserve">A、Sigmoid 函数容易出现梯度消失问题 </w:t>
      </w:r>
    </w:p>
    <w:p w14:paraId="30235B84">
      <w:pPr>
        <w:bidi w:val="0"/>
        <w:rPr>
          <w:rFonts w:hint="eastAsia"/>
          <w:lang w:val="en-US" w:eastAsia="zh-CN"/>
        </w:rPr>
      </w:pPr>
      <w:r>
        <w:rPr>
          <w:rFonts w:hint="eastAsia"/>
          <w:lang w:val="en-US" w:eastAsia="zh-CN"/>
        </w:rPr>
        <w:t xml:space="preserve">B、ReLU 函数可以缓解梯度消失 </w:t>
      </w:r>
    </w:p>
    <w:p w14:paraId="653A35D7">
      <w:pPr>
        <w:bidi w:val="0"/>
        <w:rPr>
          <w:rFonts w:hint="eastAsia"/>
          <w:lang w:val="en-US" w:eastAsia="zh-CN"/>
        </w:rPr>
      </w:pPr>
      <w:r>
        <w:rPr>
          <w:rFonts w:hint="eastAsia"/>
          <w:lang w:val="en-US" w:eastAsia="zh-CN"/>
        </w:rPr>
        <w:t>C、ReLU 输出永远不会出现负数</w:t>
      </w:r>
    </w:p>
    <w:p w14:paraId="0442C85E">
      <w:pPr>
        <w:bidi w:val="0"/>
        <w:rPr>
          <w:rFonts w:hint="eastAsia"/>
          <w:lang w:val="en-US" w:eastAsia="zh-CN"/>
        </w:rPr>
      </w:pPr>
      <w:r>
        <w:rPr>
          <w:rFonts w:hint="eastAsia"/>
          <w:lang w:val="en-US" w:eastAsia="zh-CN"/>
        </w:rPr>
        <w:t>D、Sigmoid 输出范围是 [0,1]</w:t>
      </w:r>
    </w:p>
    <w:p w14:paraId="3FD3E1F9">
      <w:pPr>
        <w:bidi w:val="0"/>
        <w:rPr>
          <w:rFonts w:hint="default"/>
          <w:lang w:val="en-US" w:eastAsia="zh-CN"/>
        </w:rPr>
      </w:pPr>
      <w:r>
        <w:rPr>
          <w:rFonts w:hint="eastAsia"/>
          <w:lang w:val="en-US" w:eastAsia="zh-CN"/>
        </w:rPr>
        <w:t>3、【判断题】K</w:t>
      </w:r>
      <w:r>
        <w:rPr>
          <w:rFonts w:hint="eastAsia"/>
          <w:lang w:val="en-US" w:eastAsia="zh-CN"/>
        </w:rPr>
        <w:noBreakHyphen/>
      </w:r>
      <w:r>
        <w:rPr>
          <w:rFonts w:hint="eastAsia"/>
          <w:lang w:val="en-US" w:eastAsia="zh-CN"/>
        </w:rPr>
        <w:t>近邻（KNN）算法属于惰性学习，训练阶段不构建模型，预测时才计算距离。（）</w:t>
      </w:r>
    </w:p>
    <w:p w14:paraId="58617847">
      <w:pPr>
        <w:pStyle w:val="4"/>
        <w:bidi w:val="0"/>
        <w:rPr>
          <w:rFonts w:hint="eastAsia"/>
          <w:lang w:val="en-US" w:eastAsia="zh-CN"/>
        </w:rPr>
      </w:pPr>
      <w:bookmarkStart w:id="35" w:name="_Toc6314"/>
      <w:r>
        <w:rPr>
          <w:rFonts w:hint="eastAsia"/>
          <w:lang w:val="en-US" w:eastAsia="zh-CN"/>
        </w:rPr>
        <w:t>2.3.2 实际操作考核</w:t>
      </w:r>
      <w:bookmarkEnd w:id="35"/>
    </w:p>
    <w:p w14:paraId="265874C8">
      <w:pPr>
        <w:bidi w:val="0"/>
        <w:rPr>
          <w:rFonts w:hint="default"/>
          <w:lang w:val="en-US" w:eastAsia="zh-CN"/>
        </w:rPr>
      </w:pPr>
      <w:r>
        <w:rPr>
          <w:rFonts w:hint="default"/>
          <w:lang w:val="en-US" w:eastAsia="zh-CN"/>
        </w:rPr>
        <w:t>本次人工智能工程技术人员S赛项实际操作考核使用国产异构 AI 教学机器人平台，集成国产异构 AI 处理器、2D 视觉、深度相机、电动二自由度云台、5 自由度机械臂、麦克风阵列、多类型嵌入式传感器模块，配套完整 Python 实验环境、AI 算法库、多门课程教学资源与行业图像数据集，支持机器视觉、深度学习、语音交互、嵌入式控制、机器人抓取等综合 AI 与机器人实训开发。</w:t>
      </w:r>
    </w:p>
    <w:p w14:paraId="587A1608">
      <w:pPr>
        <w:bidi w:val="0"/>
        <w:rPr>
          <w:rFonts w:hint="eastAsia"/>
          <w:lang w:val="en-US" w:eastAsia="zh-CN"/>
        </w:rPr>
      </w:pPr>
      <w:r>
        <w:rPr>
          <w:rFonts w:hint="eastAsia"/>
          <w:lang w:val="en-US" w:eastAsia="zh-CN"/>
        </w:rPr>
        <w:t>考生可直接在实验环境内开展实验。管理端后台支持对 Jupyter 实验资源进行管理；考生在对应界面可查看完整考核手册与实验代码，全部实验代码支持运行执行。出题人已对部分代码做挖空处理，考生需补全代码，完成对应的实验与实操任务。</w:t>
      </w:r>
    </w:p>
    <w:p w14:paraId="12BBD778">
      <w:pPr>
        <w:pStyle w:val="3"/>
        <w:bidi w:val="0"/>
        <w:rPr>
          <w:lang w:eastAsia="zh-CN"/>
        </w:rPr>
      </w:pPr>
      <w:bookmarkStart w:id="36" w:name="_Toc3861"/>
      <w:r>
        <w:rPr>
          <w:rFonts w:hint="default"/>
          <w:lang w:eastAsia="zh-CN"/>
        </w:rPr>
        <w:t>2</w:t>
      </w:r>
      <w:r>
        <w:rPr>
          <w:rFonts w:hint="eastAsia"/>
          <w:lang w:eastAsia="zh-CN"/>
        </w:rPr>
        <w:t>.</w:t>
      </w:r>
      <w:r>
        <w:rPr>
          <w:rFonts w:hint="eastAsia"/>
          <w:lang w:val="en-US" w:eastAsia="zh-CN"/>
        </w:rPr>
        <w:t>4</w:t>
      </w:r>
      <w:r>
        <w:rPr>
          <w:rFonts w:hint="eastAsia"/>
          <w:lang w:eastAsia="zh-CN"/>
        </w:rPr>
        <w:t xml:space="preserve"> 竞赛要求</w:t>
      </w:r>
      <w:bookmarkEnd w:id="31"/>
      <w:bookmarkEnd w:id="32"/>
      <w:bookmarkEnd w:id="33"/>
      <w:bookmarkEnd w:id="34"/>
      <w:bookmarkEnd w:id="36"/>
    </w:p>
    <w:p w14:paraId="5AADE521">
      <w:pPr>
        <w:bidi w:val="0"/>
        <w:rPr>
          <w:rFonts w:hint="eastAsia"/>
          <w:lang w:val="en-US" w:eastAsia="zh-CN"/>
        </w:rPr>
      </w:pPr>
      <w:r>
        <w:rPr>
          <w:rFonts w:hint="eastAsia"/>
          <w:lang w:val="en-US" w:eastAsia="zh-CN"/>
        </w:rPr>
        <w:t>赛前需认真阅读组委会发布的相关文件，熟悉竞赛内容、竞赛流程、竞赛纪律，严格按照文件要求实施。需提前熟悉人工智能教学实验平台和前端设备应用的使用。</w:t>
      </w:r>
    </w:p>
    <w:p w14:paraId="6866B488">
      <w:pPr>
        <w:bidi w:val="0"/>
        <w:rPr>
          <w:rFonts w:hint="eastAsia"/>
          <w:lang w:val="en-US" w:eastAsia="zh-CN"/>
        </w:rPr>
      </w:pPr>
      <w:r>
        <w:rPr>
          <w:rFonts w:hint="eastAsia"/>
          <w:lang w:val="en-US" w:eastAsia="zh-CN"/>
        </w:rPr>
        <w:t>本次竞赛为个人赛，每位参赛选手独立完成理论知识考核和实际操作考核。理论知识考核采用闭卷笔试的方式，实际操作考核在专门设置的竞赛场地进行，使用统一提供的硬件设备和软件工具。​</w:t>
      </w:r>
    </w:p>
    <w:p w14:paraId="7D946B58">
      <w:pPr>
        <w:pStyle w:val="2"/>
        <w:bidi w:val="0"/>
        <w:rPr>
          <w:lang w:eastAsia="zh-CN"/>
        </w:rPr>
      </w:pPr>
      <w:bookmarkStart w:id="37" w:name="_Toc29915"/>
      <w:r>
        <w:rPr>
          <w:rFonts w:hint="eastAsia"/>
          <w:lang w:val="en-US" w:eastAsia="zh-CN"/>
        </w:rPr>
        <w:t>三、竞赛规则</w:t>
      </w:r>
      <w:bookmarkEnd w:id="37"/>
    </w:p>
    <w:p w14:paraId="7D7EFA9A">
      <w:pPr>
        <w:pStyle w:val="3"/>
        <w:bidi w:val="0"/>
        <w:rPr>
          <w:rFonts w:hint="eastAsia"/>
          <w:lang w:val="en-US" w:eastAsia="zh-CN"/>
        </w:rPr>
      </w:pPr>
      <w:bookmarkStart w:id="38" w:name="_Toc22884"/>
      <w:bookmarkStart w:id="39" w:name="_Toc108109233"/>
      <w:bookmarkStart w:id="40" w:name="_Toc5812"/>
      <w:bookmarkStart w:id="41" w:name="_Toc21053"/>
      <w:r>
        <w:rPr>
          <w:rFonts w:hint="eastAsia"/>
          <w:lang w:val="en-US" w:eastAsia="zh-CN"/>
        </w:rPr>
        <w:t>3.1参赛资格</w:t>
      </w:r>
      <w:bookmarkEnd w:id="38"/>
    </w:p>
    <w:p w14:paraId="41B06FA3">
      <w:pPr>
        <w:bidi w:val="0"/>
        <w:rPr>
          <w:rFonts w:hint="eastAsia"/>
          <w:lang w:val="en-US" w:eastAsia="zh-CN"/>
        </w:rPr>
      </w:pPr>
      <w:bookmarkStart w:id="42" w:name="_Toc4788"/>
      <w:r>
        <w:rPr>
          <w:rFonts w:hint="eastAsia"/>
          <w:lang w:val="en-US" w:eastAsia="zh-CN"/>
        </w:rPr>
        <w:t>1、柳州企事业单位在职职工，从事人工智能相关工作或对人工智能技术有深入学习和实践经验；</w:t>
      </w:r>
      <w:bookmarkEnd w:id="42"/>
    </w:p>
    <w:p w14:paraId="7B2CCC4C">
      <w:pPr>
        <w:bidi w:val="0"/>
        <w:rPr>
          <w:rFonts w:hint="eastAsia"/>
          <w:lang w:val="en-US" w:eastAsia="zh-CN"/>
        </w:rPr>
      </w:pPr>
      <w:bookmarkStart w:id="43" w:name="_Toc19223"/>
      <w:r>
        <w:rPr>
          <w:rFonts w:hint="eastAsia"/>
          <w:lang w:val="en-US" w:eastAsia="zh-CN"/>
        </w:rPr>
        <w:t>2、参赛选手应遵守国家法律法规，具有良好的职业道德和敬业精神；</w:t>
      </w:r>
      <w:bookmarkEnd w:id="43"/>
    </w:p>
    <w:p w14:paraId="192B0BB3">
      <w:pPr>
        <w:bidi w:val="0"/>
        <w:rPr>
          <w:rFonts w:hint="eastAsia"/>
          <w:lang w:val="en-US" w:eastAsia="zh-CN"/>
        </w:rPr>
      </w:pPr>
      <w:bookmarkStart w:id="44" w:name="_Toc16973"/>
      <w:r>
        <w:rPr>
          <w:rFonts w:hint="eastAsia"/>
          <w:lang w:val="en-US" w:eastAsia="zh-CN"/>
        </w:rPr>
        <w:t>3、已获得“中华技能大奖”、“全国技术能手”称号及已通过竞赛取得“全国技术能手”申报资格的人员，不得参加本次竞赛。</w:t>
      </w:r>
      <w:bookmarkEnd w:id="44"/>
    </w:p>
    <w:p w14:paraId="2CC80A96">
      <w:pPr>
        <w:pStyle w:val="3"/>
        <w:bidi w:val="0"/>
        <w:rPr>
          <w:rFonts w:hint="eastAsia"/>
          <w:lang w:val="en-US" w:eastAsia="zh-CN"/>
        </w:rPr>
      </w:pPr>
      <w:bookmarkStart w:id="45" w:name="_Toc22382"/>
      <w:r>
        <w:rPr>
          <w:rFonts w:hint="eastAsia"/>
          <w:lang w:val="en-US" w:eastAsia="zh-CN"/>
        </w:rPr>
        <w:t>3.2竞赛流程</w:t>
      </w:r>
      <w:bookmarkEnd w:id="45"/>
    </w:p>
    <w:p w14:paraId="1E1D04BB">
      <w:pPr>
        <w:bidi w:val="0"/>
        <w:rPr>
          <w:rFonts w:hint="eastAsia"/>
          <w:lang w:val="en-US" w:eastAsia="zh-CN"/>
        </w:rPr>
      </w:pPr>
      <w:bookmarkStart w:id="46" w:name="_Toc9662"/>
      <w:r>
        <w:rPr>
          <w:rFonts w:hint="eastAsia"/>
          <w:lang w:val="en-US" w:eastAsia="zh-CN"/>
        </w:rPr>
        <w:t>1、报名阶段：各企业组织职工报名，填写报名表格并提交相关证明材料，在规定时间内将报名信息汇总报送至竞赛组委会；</w:t>
      </w:r>
      <w:bookmarkEnd w:id="46"/>
    </w:p>
    <w:p w14:paraId="7B278715">
      <w:pPr>
        <w:bidi w:val="0"/>
        <w:rPr>
          <w:rFonts w:hint="eastAsia"/>
          <w:lang w:val="en-US" w:eastAsia="zh-CN"/>
        </w:rPr>
      </w:pPr>
      <w:bookmarkStart w:id="47" w:name="_Toc20362"/>
      <w:r>
        <w:rPr>
          <w:rFonts w:hint="eastAsia"/>
          <w:lang w:val="en-US" w:eastAsia="zh-CN"/>
        </w:rPr>
        <w:t>2、资格审核阶段：竞赛组委会对报名选手的资格进行审核，审核通过的选手将获得参赛资格；</w:t>
      </w:r>
      <w:bookmarkEnd w:id="47"/>
    </w:p>
    <w:p w14:paraId="211DC658">
      <w:pPr>
        <w:bidi w:val="0"/>
        <w:rPr>
          <w:rFonts w:hint="eastAsia"/>
          <w:lang w:val="en-US" w:eastAsia="zh-CN"/>
        </w:rPr>
      </w:pPr>
      <w:bookmarkStart w:id="48" w:name="_Toc6782"/>
      <w:r>
        <w:rPr>
          <w:rFonts w:hint="eastAsia"/>
          <w:lang w:val="en-US" w:eastAsia="zh-CN"/>
        </w:rPr>
        <w:t>3、竞赛阶段：参赛选手按照竞赛安排，依次参加理论知识考核和实际操作考核；</w:t>
      </w:r>
      <w:bookmarkEnd w:id="48"/>
    </w:p>
    <w:p w14:paraId="7060BDF7">
      <w:pPr>
        <w:bidi w:val="0"/>
        <w:rPr>
          <w:rFonts w:hint="eastAsia"/>
          <w:lang w:val="en-US" w:eastAsia="zh-CN"/>
        </w:rPr>
      </w:pPr>
      <w:bookmarkStart w:id="49" w:name="_Toc6478"/>
      <w:r>
        <w:rPr>
          <w:rFonts w:hint="eastAsia"/>
          <w:lang w:val="en-US" w:eastAsia="zh-CN"/>
        </w:rPr>
        <w:t>4、成绩评定阶段：竞赛评委根据竞赛评分标准对选手的理论知识和实际操作成绩进行评定，确定最终竞赛成绩；</w:t>
      </w:r>
      <w:bookmarkEnd w:id="49"/>
    </w:p>
    <w:p w14:paraId="0CE0FF3E">
      <w:pPr>
        <w:bidi w:val="0"/>
        <w:rPr>
          <w:rFonts w:hint="eastAsia"/>
          <w:lang w:val="en-US" w:eastAsia="zh-CN"/>
        </w:rPr>
      </w:pPr>
      <w:bookmarkStart w:id="50" w:name="_Toc5063"/>
      <w:r>
        <w:rPr>
          <w:rFonts w:hint="eastAsia"/>
          <w:lang w:val="en-US" w:eastAsia="zh-CN"/>
        </w:rPr>
        <w:t>5、结果公示阶段：竞赛组委会将竞赛结果进行公示，公示期为3个工作日。公示无异议后，正式公布竞赛成绩和获奖名单。​</w:t>
      </w:r>
      <w:bookmarkEnd w:id="50"/>
    </w:p>
    <w:p w14:paraId="610F27B8">
      <w:pPr>
        <w:pStyle w:val="3"/>
        <w:bidi w:val="0"/>
        <w:rPr>
          <w:rFonts w:hint="eastAsia"/>
          <w:lang w:val="en-US" w:eastAsia="zh-CN"/>
        </w:rPr>
      </w:pPr>
      <w:bookmarkStart w:id="51" w:name="_Toc21206"/>
      <w:r>
        <w:rPr>
          <w:rFonts w:hint="eastAsia"/>
          <w:lang w:val="en-US" w:eastAsia="zh-CN"/>
        </w:rPr>
        <w:t>3.3竞赛纪律</w:t>
      </w:r>
      <w:bookmarkEnd w:id="51"/>
    </w:p>
    <w:p w14:paraId="7C5185E5">
      <w:pPr>
        <w:bidi w:val="0"/>
        <w:rPr>
          <w:rFonts w:hint="eastAsia"/>
          <w:lang w:val="en-US" w:eastAsia="zh-CN"/>
        </w:rPr>
      </w:pPr>
      <w:bookmarkStart w:id="52" w:name="_Toc14545"/>
      <w:r>
        <w:rPr>
          <w:rFonts w:hint="eastAsia"/>
          <w:lang w:val="en-US" w:eastAsia="zh-CN"/>
        </w:rPr>
        <w:t>1、参赛选手应严格遵守竞赛规则和赛场纪律，服从裁判和工作人员的安排；</w:t>
      </w:r>
      <w:bookmarkEnd w:id="52"/>
    </w:p>
    <w:p w14:paraId="368B07F8">
      <w:pPr>
        <w:bidi w:val="0"/>
        <w:rPr>
          <w:rFonts w:hint="eastAsia"/>
          <w:lang w:val="en-US" w:eastAsia="zh-CN"/>
        </w:rPr>
      </w:pPr>
      <w:bookmarkStart w:id="53" w:name="_Toc19505"/>
      <w:r>
        <w:rPr>
          <w:rFonts w:hint="eastAsia"/>
          <w:lang w:val="en-US" w:eastAsia="zh-CN"/>
        </w:rPr>
        <w:t>2、在竞赛过程中，不得抄袭、作弊或有其他违反竞赛公平公正原则的行为，如有违反，将取消参赛资格和竞赛成绩；</w:t>
      </w:r>
      <w:bookmarkEnd w:id="53"/>
    </w:p>
    <w:p w14:paraId="2DDCF2AF">
      <w:pPr>
        <w:bidi w:val="0"/>
        <w:rPr>
          <w:rFonts w:hint="eastAsia"/>
          <w:lang w:val="en-US" w:eastAsia="zh-CN"/>
        </w:rPr>
      </w:pPr>
      <w:bookmarkStart w:id="54" w:name="_Toc30155"/>
      <w:r>
        <w:rPr>
          <w:rFonts w:hint="eastAsia"/>
          <w:lang w:val="en-US" w:eastAsia="zh-CN"/>
        </w:rPr>
        <w:t>3、参赛选手应爱护竞赛场地的设备和设施，不得故意损坏。如有损坏，需照价赔偿；</w:t>
      </w:r>
    </w:p>
    <w:p w14:paraId="63E582F8">
      <w:pPr>
        <w:bidi w:val="0"/>
        <w:rPr>
          <w:rFonts w:hint="eastAsia"/>
          <w:lang w:val="en-US" w:eastAsia="zh-CN"/>
        </w:rPr>
      </w:pPr>
      <w:bookmarkStart w:id="55" w:name="_Toc15103"/>
      <w:r>
        <w:rPr>
          <w:rFonts w:hint="eastAsia"/>
          <w:lang w:val="en-US" w:eastAsia="zh-CN"/>
        </w:rPr>
        <w:t>4、竞赛期间，参赛选手不得擅自离开竞赛场地，如有特殊情况需要离开，需经裁判同意并由工作人员陪同。</w:t>
      </w:r>
      <w:bookmarkEnd w:id="55"/>
    </w:p>
    <w:bookmarkEnd w:id="39"/>
    <w:bookmarkEnd w:id="40"/>
    <w:bookmarkEnd w:id="41"/>
    <w:p w14:paraId="1482E3F8">
      <w:pPr>
        <w:pStyle w:val="2"/>
        <w:bidi w:val="0"/>
        <w:rPr>
          <w:rFonts w:hint="eastAsia"/>
          <w:lang w:eastAsia="zh-CN"/>
        </w:rPr>
      </w:pPr>
      <w:bookmarkStart w:id="56" w:name="_Toc22204"/>
      <w:r>
        <w:rPr>
          <w:rFonts w:hint="eastAsia"/>
          <w:lang w:val="en-US" w:eastAsia="zh-CN"/>
        </w:rPr>
        <w:t>四</w:t>
      </w:r>
      <w:r>
        <w:rPr>
          <w:rFonts w:hint="eastAsia"/>
          <w:lang w:eastAsia="zh-CN"/>
        </w:rPr>
        <w:t>、评分标准</w:t>
      </w:r>
      <w:bookmarkEnd w:id="56"/>
    </w:p>
    <w:p w14:paraId="752B8018">
      <w:pPr>
        <w:pStyle w:val="3"/>
        <w:bidi w:val="0"/>
        <w:rPr>
          <w:rFonts w:hint="eastAsia"/>
          <w:lang w:eastAsia="zh-CN"/>
        </w:rPr>
      </w:pPr>
      <w:bookmarkStart w:id="57" w:name="_Toc9375"/>
      <w:r>
        <w:rPr>
          <w:rFonts w:hint="eastAsia"/>
          <w:lang w:val="en-US" w:eastAsia="zh-CN"/>
        </w:rPr>
        <w:t>4.1</w:t>
      </w:r>
      <w:r>
        <w:rPr>
          <w:rFonts w:hint="eastAsia"/>
          <w:lang w:eastAsia="zh-CN"/>
        </w:rPr>
        <w:t>理论知识考核评分标准</w:t>
      </w:r>
      <w:bookmarkEnd w:id="57"/>
    </w:p>
    <w:p w14:paraId="02FA2AEC">
      <w:pPr>
        <w:bidi w:val="0"/>
        <w:rPr>
          <w:rFonts w:hint="eastAsia"/>
          <w:lang w:val="en-US" w:eastAsia="zh-CN"/>
        </w:rPr>
      </w:pPr>
      <w:bookmarkStart w:id="58" w:name="_Toc27908"/>
      <w:r>
        <w:rPr>
          <w:rFonts w:hint="eastAsia"/>
          <w:lang w:val="en-US" w:eastAsia="zh-CN"/>
        </w:rPr>
        <w:t>1、单项选择题（40题）：每道题1分，答对得分，答错不扣分；</w:t>
      </w:r>
      <w:bookmarkEnd w:id="58"/>
    </w:p>
    <w:p w14:paraId="5BACD1D3">
      <w:pPr>
        <w:bidi w:val="0"/>
        <w:rPr>
          <w:rFonts w:hint="eastAsia"/>
          <w:lang w:val="en-US" w:eastAsia="zh-CN"/>
        </w:rPr>
      </w:pPr>
      <w:bookmarkStart w:id="59" w:name="_Toc22653"/>
      <w:r>
        <w:rPr>
          <w:rFonts w:hint="eastAsia"/>
          <w:lang w:val="en-US" w:eastAsia="zh-CN"/>
        </w:rPr>
        <w:t>2、多项选择题（20题）：每道题2分，全部选择正确得分，答错不扣分；</w:t>
      </w:r>
      <w:bookmarkEnd w:id="59"/>
    </w:p>
    <w:p w14:paraId="797FA353">
      <w:pPr>
        <w:bidi w:val="0"/>
        <w:rPr>
          <w:rFonts w:hint="eastAsia"/>
          <w:lang w:eastAsia="zh-CN"/>
        </w:rPr>
      </w:pPr>
      <w:bookmarkStart w:id="60" w:name="_Toc30226"/>
      <w:r>
        <w:rPr>
          <w:rFonts w:hint="eastAsia"/>
          <w:lang w:val="en-US" w:eastAsia="zh-CN"/>
        </w:rPr>
        <w:t>3、判断题（20题）：每道题 1 分，答对得分，答错不扣分。</w:t>
      </w:r>
      <w:r>
        <w:rPr>
          <w:rFonts w:hint="eastAsia"/>
          <w:lang w:eastAsia="zh-CN"/>
        </w:rPr>
        <w:t>​</w:t>
      </w:r>
      <w:bookmarkEnd w:id="60"/>
    </w:p>
    <w:p w14:paraId="1D3A5065">
      <w:pPr>
        <w:pStyle w:val="3"/>
        <w:bidi w:val="0"/>
        <w:rPr>
          <w:rFonts w:hint="eastAsia"/>
          <w:lang w:eastAsia="zh-CN"/>
        </w:rPr>
      </w:pPr>
      <w:bookmarkStart w:id="61" w:name="_Toc14949"/>
      <w:r>
        <w:rPr>
          <w:rFonts w:hint="eastAsia"/>
          <w:lang w:val="en-US" w:eastAsia="zh-CN"/>
        </w:rPr>
        <w:t>4.2</w:t>
      </w:r>
      <w:r>
        <w:rPr>
          <w:rFonts w:hint="eastAsia"/>
          <w:lang w:eastAsia="zh-CN"/>
        </w:rPr>
        <w:t>实际操作考核评分标准</w:t>
      </w:r>
      <w:bookmarkEnd w:id="61"/>
    </w:p>
    <w:p w14:paraId="53851A91">
      <w:pPr>
        <w:bidi w:val="0"/>
        <w:rPr>
          <w:rFonts w:hint="eastAsia"/>
          <w:lang w:val="en-US" w:eastAsia="zh-CN"/>
        </w:rPr>
      </w:pPr>
      <w:bookmarkStart w:id="62" w:name="_Toc6670"/>
      <w:r>
        <w:rPr>
          <w:rFonts w:hint="eastAsia"/>
          <w:lang w:val="en-US" w:eastAsia="zh-CN"/>
        </w:rPr>
        <w:t>1、自然语言处理技术应用（40分）；</w:t>
      </w:r>
      <w:bookmarkEnd w:id="62"/>
      <w:bookmarkStart w:id="63" w:name="_Toc3912"/>
    </w:p>
    <w:p w14:paraId="68CD01AD">
      <w:pPr>
        <w:bidi w:val="0"/>
        <w:rPr>
          <w:rFonts w:hint="eastAsia"/>
          <w:lang w:val="en-US" w:eastAsia="zh-CN"/>
        </w:rPr>
      </w:pPr>
      <w:r>
        <w:rPr>
          <w:rFonts w:hint="eastAsia"/>
          <w:lang w:val="en-US" w:eastAsia="zh-CN"/>
        </w:rPr>
        <w:t>2、计算机视觉技术应用（40分）</w:t>
      </w:r>
      <w:bookmarkEnd w:id="63"/>
      <w:bookmarkStart w:id="64" w:name="_Toc17021"/>
      <w:r>
        <w:rPr>
          <w:rFonts w:hint="eastAsia"/>
          <w:lang w:val="en-US" w:eastAsia="zh-CN"/>
        </w:rPr>
        <w:t>；</w:t>
      </w:r>
    </w:p>
    <w:p w14:paraId="29EE3482">
      <w:pPr>
        <w:bidi w:val="0"/>
        <w:rPr>
          <w:rFonts w:hint="default"/>
          <w:lang w:val="en-US" w:eastAsia="zh-CN"/>
        </w:rPr>
      </w:pPr>
      <w:r>
        <w:rPr>
          <w:rFonts w:hint="eastAsia"/>
          <w:lang w:val="en-US" w:eastAsia="zh-CN"/>
        </w:rPr>
        <w:t>3、综合工程技术应用（20分）。</w:t>
      </w:r>
      <w:r>
        <w:rPr>
          <w:rFonts w:hint="default"/>
          <w:lang w:val="en-US" w:eastAsia="zh-CN"/>
        </w:rPr>
        <w:t>​</w:t>
      </w:r>
      <w:bookmarkEnd w:id="64"/>
    </w:p>
    <w:p w14:paraId="1DECE460">
      <w:pPr>
        <w:pStyle w:val="3"/>
        <w:bidi w:val="0"/>
        <w:rPr>
          <w:rFonts w:hint="eastAsia"/>
          <w:lang w:val="en-US" w:eastAsia="zh-CN"/>
        </w:rPr>
      </w:pPr>
      <w:bookmarkStart w:id="65" w:name="_Toc20102"/>
      <w:bookmarkStart w:id="66" w:name="_Toc5684"/>
      <w:r>
        <w:rPr>
          <w:rFonts w:hint="eastAsia"/>
          <w:lang w:val="en-US" w:eastAsia="zh-CN"/>
        </w:rPr>
        <w:t>4.3 总成绩计算方法</w:t>
      </w:r>
      <w:bookmarkEnd w:id="65"/>
      <w:bookmarkEnd w:id="66"/>
      <w:bookmarkStart w:id="67" w:name="_Toc16836"/>
    </w:p>
    <w:p w14:paraId="432074A8">
      <w:pPr>
        <w:bidi w:val="0"/>
        <w:rPr>
          <w:rFonts w:hint="eastAsia"/>
          <w:lang w:val="en-US" w:eastAsia="zh-CN"/>
        </w:rPr>
      </w:pPr>
      <w:r>
        <w:rPr>
          <w:rFonts w:hint="eastAsia"/>
          <w:lang w:val="en-US" w:eastAsia="zh-CN"/>
        </w:rPr>
        <w:t>总成绩 = 理论知识考核成绩 × 30% + 实际操作考核成绩 × 70%。</w:t>
      </w:r>
      <w:bookmarkEnd w:id="67"/>
    </w:p>
    <w:p w14:paraId="40927191">
      <w:pPr>
        <w:pStyle w:val="2"/>
        <w:bidi w:val="0"/>
        <w:rPr>
          <w:lang w:eastAsia="zh-CN"/>
        </w:rPr>
      </w:pPr>
      <w:bookmarkStart w:id="68" w:name="_Toc14632"/>
      <w:bookmarkStart w:id="69" w:name="_Toc108109249"/>
      <w:bookmarkStart w:id="70" w:name="_Toc6424"/>
      <w:bookmarkStart w:id="71" w:name="_Toc26792"/>
      <w:r>
        <w:rPr>
          <w:rFonts w:hint="eastAsia"/>
          <w:lang w:val="en-US" w:eastAsia="zh-CN"/>
        </w:rPr>
        <w:t>五、</w:t>
      </w:r>
      <w:r>
        <w:rPr>
          <w:lang w:eastAsia="zh-CN"/>
        </w:rPr>
        <w:t>大赛基础设施</w:t>
      </w:r>
      <w:bookmarkEnd w:id="68"/>
      <w:bookmarkEnd w:id="69"/>
      <w:bookmarkEnd w:id="70"/>
      <w:bookmarkEnd w:id="71"/>
    </w:p>
    <w:p w14:paraId="462AC43A">
      <w:pPr>
        <w:pStyle w:val="3"/>
        <w:bidi w:val="0"/>
        <w:rPr>
          <w:lang w:eastAsia="zh-CN"/>
        </w:rPr>
      </w:pPr>
      <w:bookmarkStart w:id="72" w:name="_Toc27994"/>
      <w:bookmarkStart w:id="73" w:name="_Toc17513"/>
      <w:bookmarkStart w:id="74" w:name="_Toc108109250"/>
      <w:bookmarkStart w:id="75" w:name="_Toc28199"/>
      <w:r>
        <w:rPr>
          <w:rFonts w:hint="eastAsia"/>
          <w:lang w:val="en-US" w:eastAsia="zh-CN"/>
        </w:rPr>
        <w:t>5</w:t>
      </w:r>
      <w:r>
        <w:rPr>
          <w:lang w:eastAsia="zh-CN"/>
        </w:rPr>
        <w:t>.</w:t>
      </w:r>
      <w:r>
        <w:rPr>
          <w:rFonts w:hint="default"/>
          <w:lang w:eastAsia="zh-CN"/>
        </w:rPr>
        <w:t>1</w:t>
      </w:r>
      <w:r>
        <w:rPr>
          <w:lang w:eastAsia="zh-CN"/>
        </w:rPr>
        <w:t xml:space="preserve"> 竞赛平台条件</w:t>
      </w:r>
      <w:bookmarkEnd w:id="72"/>
      <w:bookmarkEnd w:id="73"/>
      <w:bookmarkEnd w:id="74"/>
      <w:bookmarkEnd w:id="75"/>
    </w:p>
    <w:p w14:paraId="0BFC30AF">
      <w:pPr>
        <w:bidi w:val="0"/>
        <w:rPr>
          <w:rFonts w:hint="default"/>
          <w:lang w:eastAsia="zh-CN"/>
        </w:rPr>
      </w:pPr>
      <w:r>
        <w:rPr>
          <w:rFonts w:hint="default"/>
          <w:lang w:eastAsia="zh-CN"/>
        </w:rPr>
        <w:t>竞赛平台由人工智能教学实验平台和前端设备应用实训平台组成。</w:t>
      </w:r>
    </w:p>
    <w:p w14:paraId="6EFD9807">
      <w:pPr>
        <w:bidi w:val="0"/>
        <w:rPr>
          <w:rFonts w:hint="default"/>
          <w:lang w:eastAsia="zh-CN"/>
        </w:rPr>
      </w:pPr>
      <w:r>
        <w:rPr>
          <w:rFonts w:hint="default"/>
          <w:lang w:eastAsia="zh-CN"/>
        </w:rPr>
        <w:t>人工智能教学实验平台是针对AI学习者的在线一体化学习与实验的平台。平台支撑AI专业课程体系对应课程、实验案例的教学实训, 满足主流深度学习框架的各类实验案例,可在线完成分类、建模、分析、可视化、结果输出等任务，并支持私有化部署和云边端协同。人工智能算法训练平台包含实训软件、实训资源。产品设计根据中华人民共和国人力资源社会保障部〔2019〕48号文件中关于</w:t>
      </w:r>
      <w:r>
        <w:rPr>
          <w:rFonts w:hint="eastAsia"/>
          <w:lang w:eastAsia="zh-CN"/>
        </w:rPr>
        <w:t>“</w:t>
      </w:r>
      <w:r>
        <w:rPr>
          <w:rFonts w:hint="default"/>
          <w:lang w:eastAsia="zh-CN"/>
        </w:rPr>
        <w:t>人工智能工程技术人员</w:t>
      </w:r>
      <w:r>
        <w:rPr>
          <w:rFonts w:hint="eastAsia"/>
          <w:lang w:eastAsia="zh-CN"/>
        </w:rPr>
        <w:t>”</w:t>
      </w:r>
      <w:r>
        <w:rPr>
          <w:rFonts w:hint="default"/>
          <w:lang w:eastAsia="zh-CN"/>
        </w:rPr>
        <w:t>的职业定义及主要工作任务，涵盖了人工智能相关算法、深度学习技术、计算机视觉应用等技术。</w:t>
      </w:r>
    </w:p>
    <w:p w14:paraId="28EFCA7C">
      <w:pPr>
        <w:pStyle w:val="3"/>
        <w:keepNext/>
        <w:keepLines/>
        <w:pageBreakBefore w:val="0"/>
        <w:widowControl w:val="0"/>
        <w:kinsoku/>
        <w:wordWrap/>
        <w:overflowPunct/>
        <w:topLinePunct w:val="0"/>
        <w:autoSpaceDE/>
        <w:autoSpaceDN/>
        <w:bidi w:val="0"/>
        <w:adjustRightInd/>
        <w:snapToGrid/>
        <w:ind w:firstLine="560" w:firstLineChars="200"/>
        <w:textAlignment w:val="auto"/>
        <w:rPr>
          <w:rFonts w:hint="eastAsia"/>
          <w:highlight w:val="none"/>
          <w:lang w:val="en-US" w:eastAsia="zh-CN"/>
        </w:rPr>
      </w:pPr>
      <w:bookmarkStart w:id="76" w:name="_Toc817"/>
      <w:bookmarkStart w:id="77" w:name="_Toc430"/>
      <w:bookmarkStart w:id="78" w:name="_Toc522715731"/>
      <w:bookmarkStart w:id="79" w:name="_Toc107987987"/>
      <w:bookmarkStart w:id="80" w:name="_Toc3401"/>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广西致用教育科技有限公司作为本次大赛的设备提供方及技术服务方，负责提供竞赛所需的全部软硬件设备及平台，并为大赛提供全面的技术服务保</w:t>
      </w:r>
      <w:r>
        <w:rPr>
          <w:rFonts w:hint="eastAsia"/>
          <w:highlight w:val="none"/>
          <w:lang w:val="en-US" w:eastAsia="zh-CN"/>
        </w:rPr>
        <w:t>障。</w:t>
      </w:r>
    </w:p>
    <w:p w14:paraId="04EFF084">
      <w:pPr>
        <w:pStyle w:val="3"/>
        <w:keepNext/>
        <w:keepLines/>
        <w:pageBreakBefore w:val="0"/>
        <w:widowControl w:val="0"/>
        <w:kinsoku/>
        <w:wordWrap/>
        <w:overflowPunct/>
        <w:topLinePunct w:val="0"/>
        <w:autoSpaceDE/>
        <w:autoSpaceDN/>
        <w:bidi w:val="0"/>
        <w:adjustRightInd/>
        <w:snapToGrid/>
        <w:ind w:firstLine="562" w:firstLineChars="200"/>
        <w:textAlignment w:val="auto"/>
        <w:rPr>
          <w:rFonts w:hint="eastAsia"/>
          <w:highlight w:val="none"/>
          <w:lang w:eastAsia="zh-CN"/>
        </w:rPr>
      </w:pPr>
      <w:r>
        <w:rPr>
          <w:rFonts w:hint="eastAsia"/>
          <w:highlight w:val="none"/>
          <w:lang w:val="en-US" w:eastAsia="zh-CN"/>
        </w:rPr>
        <w:t>5</w:t>
      </w:r>
      <w:r>
        <w:rPr>
          <w:rFonts w:hint="eastAsia"/>
          <w:highlight w:val="none"/>
          <w:lang w:eastAsia="zh-CN"/>
        </w:rPr>
        <w:t>.</w:t>
      </w:r>
      <w:r>
        <w:rPr>
          <w:rFonts w:hint="default"/>
          <w:highlight w:val="none"/>
          <w:lang w:eastAsia="zh-CN"/>
        </w:rPr>
        <w:t>2</w:t>
      </w:r>
      <w:r>
        <w:rPr>
          <w:highlight w:val="none"/>
          <w:lang w:eastAsia="zh-CN"/>
        </w:rPr>
        <w:t xml:space="preserve"> </w:t>
      </w:r>
      <w:r>
        <w:rPr>
          <w:rFonts w:hint="eastAsia"/>
          <w:highlight w:val="none"/>
          <w:lang w:eastAsia="zh-CN"/>
        </w:rPr>
        <w:t>赛场设备主要配置清单</w:t>
      </w:r>
      <w:bookmarkEnd w:id="76"/>
      <w:bookmarkEnd w:id="77"/>
      <w:bookmarkEnd w:id="78"/>
      <w:bookmarkEnd w:id="79"/>
      <w:bookmarkEnd w:id="80"/>
    </w:p>
    <w:p w14:paraId="0F0F44E4">
      <w:pPr>
        <w:rPr>
          <w:rFonts w:hint="default"/>
          <w:highlight w:val="none"/>
          <w:lang w:val="en-US" w:eastAsia="zh-CN"/>
        </w:rPr>
      </w:pPr>
      <w:r>
        <w:rPr>
          <w:rFonts w:hint="default"/>
          <w:highlight w:val="none"/>
          <w:lang w:val="en-US" w:eastAsia="zh-CN"/>
        </w:rPr>
        <w:t>以下设备由广西致用教育科技有限公司提供，人工智能教学实验平台</w:t>
      </w:r>
      <w:r>
        <w:rPr>
          <w:rFonts w:hint="eastAsia"/>
          <w:highlight w:val="none"/>
          <w:lang w:val="en-US" w:eastAsia="zh-CN"/>
        </w:rPr>
        <w:t>参数如下：</w:t>
      </w:r>
    </w:p>
    <w:p w14:paraId="7B66A5A6">
      <w:pPr>
        <w:bidi w:val="0"/>
        <w:rPr>
          <w:rFonts w:hint="eastAsia"/>
          <w:lang w:val="en-US" w:eastAsia="zh-CN"/>
        </w:rPr>
      </w:pPr>
      <w:r>
        <w:rPr>
          <w:rFonts w:hint="default"/>
          <w:lang w:val="en-US" w:eastAsia="zh-CN"/>
        </w:rPr>
        <w:t>硬件组成</w:t>
      </w:r>
      <w:r>
        <w:rPr>
          <w:rFonts w:hint="eastAsia"/>
          <w:lang w:val="en-US" w:eastAsia="zh-CN"/>
        </w:rPr>
        <w:t>：</w:t>
      </w:r>
    </w:p>
    <w:p w14:paraId="45A05DA1">
      <w:pPr>
        <w:bidi w:val="0"/>
        <w:rPr>
          <w:rFonts w:hint="default"/>
          <w:lang w:val="en-US" w:eastAsia="zh-CN"/>
        </w:rPr>
      </w:pPr>
      <w:r>
        <w:rPr>
          <w:rFonts w:hint="eastAsia"/>
          <w:lang w:val="en-US" w:eastAsia="zh-CN"/>
        </w:rPr>
        <w:t>1、</w:t>
      </w:r>
      <w:r>
        <w:rPr>
          <w:rFonts w:hint="default"/>
          <w:lang w:val="en-US" w:eastAsia="zh-CN"/>
        </w:rPr>
        <w:t>国产异构 AI 处理主机</w:t>
      </w:r>
      <w:r>
        <w:rPr>
          <w:rFonts w:hint="eastAsia"/>
          <w:lang w:val="en-US" w:eastAsia="zh-CN"/>
        </w:rPr>
        <w:t>：</w:t>
      </w:r>
      <w:r>
        <w:rPr>
          <w:rFonts w:hint="default"/>
          <w:lang w:val="en-US" w:eastAsia="zh-CN"/>
        </w:rPr>
        <w:t>采用国产异构 AI 处理器架构，集成通用计算核心与专用 AI 加速核心，INT8 推理算力≥20 TOPS；内存≥8GB 64-bit LPDDR4x（支持 ECC 校验），存储≥128GB；配备千兆网口、HDMI、4 路 USB3.0、40 针扩展接口。内置 Python3.8 + 运行环境，支持 Jupyter Notebook；预置物体分类、目标检测、人脸识别、语音处理等 AI 算法库。</w:t>
      </w:r>
    </w:p>
    <w:p w14:paraId="23F3A5DF">
      <w:pPr>
        <w:bidi w:val="0"/>
        <w:rPr>
          <w:rFonts w:hint="default"/>
          <w:lang w:val="en-US" w:eastAsia="zh-CN"/>
        </w:rPr>
      </w:pPr>
      <w:r>
        <w:rPr>
          <w:rFonts w:hint="eastAsia"/>
          <w:lang w:val="en-US" w:eastAsia="zh-CN"/>
        </w:rPr>
        <w:t>2、</w:t>
      </w:r>
      <w:r>
        <w:rPr>
          <w:rFonts w:hint="default"/>
          <w:lang w:val="en-US" w:eastAsia="zh-CN"/>
        </w:rPr>
        <w:t>视觉采集单元</w:t>
      </w:r>
      <w:r>
        <w:rPr>
          <w:rFonts w:hint="eastAsia"/>
          <w:lang w:val="en-US" w:eastAsia="zh-CN"/>
        </w:rPr>
        <w:t>：</w:t>
      </w:r>
      <w:r>
        <w:rPr>
          <w:rFonts w:hint="default"/>
          <w:lang w:val="en-US" w:eastAsia="zh-CN"/>
        </w:rPr>
        <w:t>2D 视觉系统：分辨率≥640×480，帧率≥30fps，手动对焦，支架可折叠收纳</w:t>
      </w:r>
      <w:r>
        <w:rPr>
          <w:rFonts w:hint="eastAsia"/>
          <w:lang w:val="en-US" w:eastAsia="zh-CN"/>
        </w:rPr>
        <w:t>；</w:t>
      </w:r>
      <w:r>
        <w:rPr>
          <w:rFonts w:hint="default"/>
          <w:lang w:val="en-US" w:eastAsia="zh-CN"/>
        </w:rPr>
        <w:t>深度相机：分辨率≥1280×720，帧率≥30fps，彩色图像 + 深度检测；搭载于二自由度电动舵机云台，云台支持 ±90° 旋转、110° 俯仰。配套视觉库支持人脸 14 关键点检测、多行人检测、手势识别（手部 5 关键点）、人脸特征提取入库。</w:t>
      </w:r>
    </w:p>
    <w:p w14:paraId="3263D3B4">
      <w:pPr>
        <w:bidi w:val="0"/>
        <w:rPr>
          <w:rFonts w:hint="default"/>
          <w:lang w:val="en-US" w:eastAsia="zh-CN"/>
        </w:rPr>
      </w:pPr>
      <w:r>
        <w:rPr>
          <w:rFonts w:hint="eastAsia"/>
          <w:lang w:val="en-US" w:eastAsia="zh-CN"/>
        </w:rPr>
        <w:t>3、</w:t>
      </w:r>
      <w:r>
        <w:rPr>
          <w:rFonts w:hint="default"/>
          <w:lang w:val="en-US" w:eastAsia="zh-CN"/>
        </w:rPr>
        <w:t>麦克风阵列</w:t>
      </w:r>
      <w:r>
        <w:rPr>
          <w:rFonts w:hint="eastAsia"/>
          <w:lang w:val="en-US" w:eastAsia="zh-CN"/>
        </w:rPr>
        <w:t>：</w:t>
      </w:r>
      <w:r>
        <w:rPr>
          <w:rFonts w:hint="default"/>
          <w:lang w:val="en-US" w:eastAsia="zh-CN"/>
        </w:rPr>
        <w:t>360° 环绕拾音，开放函数接口，支持自定义离线 / 实时语音指令，可语音控制机械臂动作、传感器启停。</w:t>
      </w:r>
    </w:p>
    <w:p w14:paraId="4A07A2FC">
      <w:pPr>
        <w:bidi w:val="0"/>
        <w:rPr>
          <w:rFonts w:hint="default"/>
          <w:lang w:val="en-US" w:eastAsia="zh-CN"/>
        </w:rPr>
      </w:pPr>
      <w:r>
        <w:rPr>
          <w:rFonts w:hint="eastAsia"/>
          <w:lang w:val="en-US" w:eastAsia="zh-CN"/>
        </w:rPr>
        <w:t>4、</w:t>
      </w:r>
      <w:r>
        <w:rPr>
          <w:rFonts w:hint="default"/>
          <w:lang w:val="en-US" w:eastAsia="zh-CN"/>
        </w:rPr>
        <w:t>5自由度机械臂系统</w:t>
      </w:r>
      <w:r>
        <w:rPr>
          <w:rFonts w:hint="eastAsia"/>
          <w:lang w:val="en-US" w:eastAsia="zh-CN"/>
        </w:rPr>
        <w:t>：</w:t>
      </w:r>
      <w:r>
        <w:rPr>
          <w:rFonts w:hint="default"/>
          <w:lang w:val="en-US" w:eastAsia="zh-CN"/>
        </w:rPr>
        <w:t>有效抓取半径≥15cm，配备两指夹爪；支持动作示教，可连续示教不少于 50 组动作，可设置关节角度、延时、夹爪开合；安装面板集成一键启动、复位按钮，实现机械臂自动抬升与收纳。支持语音控制上下、左右移动与物体抓取。</w:t>
      </w:r>
    </w:p>
    <w:p w14:paraId="6E73DB92">
      <w:pPr>
        <w:bidi w:val="0"/>
        <w:rPr>
          <w:rFonts w:hint="default"/>
          <w:lang w:val="en-US" w:eastAsia="zh-CN"/>
        </w:rPr>
      </w:pPr>
      <w:r>
        <w:rPr>
          <w:rFonts w:hint="eastAsia"/>
          <w:lang w:val="en-US" w:eastAsia="zh-CN"/>
        </w:rPr>
        <w:t>5、</w:t>
      </w:r>
      <w:r>
        <w:rPr>
          <w:rFonts w:hint="default"/>
          <w:lang w:val="en-US" w:eastAsia="zh-CN"/>
        </w:rPr>
        <w:t>嵌入式通信与电源管理模块</w:t>
      </w:r>
      <w:r>
        <w:rPr>
          <w:rFonts w:hint="eastAsia"/>
          <w:lang w:val="en-US" w:eastAsia="zh-CN"/>
        </w:rPr>
        <w:t>：</w:t>
      </w:r>
      <w:r>
        <w:rPr>
          <w:rFonts w:hint="default"/>
          <w:lang w:val="en-US" w:eastAsia="zh-CN"/>
        </w:rPr>
        <w:t>提供 USB2.0×4、IO 接口 ×4、12V 电源 ×2、5V 电源 ×1；分布式多路独立供电；板载微处理器，开放 Python API，可通过 Python 实现模块交互控制。</w:t>
      </w:r>
    </w:p>
    <w:p w14:paraId="7457EF10">
      <w:pPr>
        <w:bidi w:val="0"/>
        <w:rPr>
          <w:rFonts w:hint="eastAsia"/>
          <w:lang w:val="en-US" w:eastAsia="zh-CN"/>
        </w:rPr>
      </w:pPr>
      <w:r>
        <w:rPr>
          <w:rFonts w:hint="eastAsia"/>
          <w:lang w:val="en-US" w:eastAsia="zh-CN"/>
        </w:rPr>
        <w:t>6、</w:t>
      </w:r>
      <w:r>
        <w:rPr>
          <w:rFonts w:hint="default"/>
          <w:lang w:val="en-US" w:eastAsia="zh-CN"/>
        </w:rPr>
        <w:t>嵌入式传感器套件</w:t>
      </w:r>
      <w:r>
        <w:rPr>
          <w:rFonts w:hint="eastAsia"/>
          <w:lang w:val="en-US" w:eastAsia="zh-CN"/>
        </w:rPr>
        <w:t>：</w:t>
      </w:r>
      <w:r>
        <w:rPr>
          <w:rFonts w:hint="default"/>
          <w:lang w:val="en-US" w:eastAsia="zh-CN"/>
        </w:rPr>
        <w:t>包含超声波、人体检测、温湿度、心率、气压、声音、亮度、火焰、气体传感器；配套蓝牙模块、陀螺仪、风扇、数码管、LED 灯；搭载单片机统一控制，传感器采用防呆接口设计。</w:t>
      </w:r>
    </w:p>
    <w:p w14:paraId="0E65668D">
      <w:pPr>
        <w:bidi w:val="0"/>
        <w:rPr>
          <w:rFonts w:hint="default"/>
          <w:lang w:eastAsia="zh-CN"/>
        </w:rPr>
      </w:pPr>
      <w:r>
        <w:rPr>
          <w:rFonts w:hint="eastAsia"/>
          <w:lang w:val="en-US" w:eastAsia="zh-CN"/>
        </w:rPr>
        <w:t>人工智能工程技术人员竞赛平台主要配置清单如下表1所示。</w:t>
      </w:r>
    </w:p>
    <w:p w14:paraId="09F90EB3">
      <w:pPr>
        <w:bidi w:val="0"/>
        <w:rPr>
          <w:lang w:eastAsia="zh-CN"/>
        </w:rPr>
      </w:pPr>
      <w:r>
        <w:rPr>
          <w:rFonts w:hint="eastAsia"/>
          <w:lang w:eastAsia="zh-CN"/>
        </w:rPr>
        <w:t>表</w:t>
      </w:r>
      <w:r>
        <w:rPr>
          <w:rFonts w:hint="default"/>
          <w:lang w:val="en-US" w:eastAsia="zh-CN"/>
        </w:rPr>
        <w:t>1</w:t>
      </w:r>
      <w:r>
        <w:rPr>
          <w:rFonts w:hint="eastAsia"/>
          <w:lang w:eastAsia="zh-CN"/>
        </w:rPr>
        <w:t xml:space="preserve"> </w:t>
      </w:r>
      <w:r>
        <w:rPr>
          <w:lang w:eastAsia="zh-CN"/>
        </w:rPr>
        <w:t xml:space="preserve"> </w:t>
      </w:r>
      <w:r>
        <w:rPr>
          <w:rFonts w:hint="eastAsia"/>
          <w:lang w:val="en-US" w:eastAsia="zh-CN"/>
        </w:rPr>
        <w:t>人工智能</w:t>
      </w:r>
      <w:r>
        <w:rPr>
          <w:rFonts w:hint="eastAsia"/>
          <w:lang w:eastAsia="zh-CN"/>
        </w:rPr>
        <w:t>工程技术人员竞赛平台主要配置清单</w:t>
      </w:r>
    </w:p>
    <w:tbl>
      <w:tblPr>
        <w:tblStyle w:val="1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42" w:type="dxa"/>
          <w:bottom w:w="57" w:type="dxa"/>
          <w:right w:w="142" w:type="dxa"/>
        </w:tblCellMar>
      </w:tblPr>
      <w:tblGrid>
        <w:gridCol w:w="973"/>
        <w:gridCol w:w="1450"/>
        <w:gridCol w:w="1584"/>
        <w:gridCol w:w="3047"/>
        <w:gridCol w:w="1446"/>
        <w:gridCol w:w="892"/>
      </w:tblGrid>
      <w:tr w14:paraId="11E1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889"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14:paraId="6636C8D2">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GB" w:eastAsia="en-US"/>
              </w:rPr>
            </w:pPr>
            <w:bookmarkStart w:id="81" w:name="_TOC_300024"/>
            <w:bookmarkStart w:id="82" w:name="_Toc108109251"/>
            <w:r>
              <w:rPr>
                <w:rFonts w:hint="default" w:ascii="Times New Roman" w:hAnsi="Times New Roman" w:eastAsia="仿宋_GB2312" w:cs="Times New Roman"/>
                <w:b/>
                <w:bCs/>
                <w:spacing w:val="-1"/>
                <w:sz w:val="24"/>
                <w:szCs w:val="24"/>
                <w:lang w:val="en-US" w:eastAsia="en-US"/>
              </w:rPr>
              <w:t>设备编号</w:t>
            </w:r>
          </w:p>
        </w:tc>
        <w:tc>
          <w:tcPr>
            <w:tcW w:w="1496" w:type="dxa"/>
            <w:tcBorders>
              <w:top w:val="single" w:color="auto" w:sz="4" w:space="0"/>
              <w:left w:val="single" w:color="auto" w:sz="4" w:space="0"/>
              <w:bottom w:val="single" w:color="auto" w:sz="4" w:space="0"/>
              <w:right w:val="single" w:color="auto" w:sz="4" w:space="0"/>
            </w:tcBorders>
            <w:vAlign w:val="center"/>
          </w:tcPr>
          <w:p w14:paraId="15F13C46">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GB" w:eastAsia="zh-CN"/>
              </w:rPr>
            </w:pPr>
            <w:r>
              <w:rPr>
                <w:rFonts w:hint="default" w:ascii="Times New Roman" w:hAnsi="Times New Roman" w:eastAsia="仿宋_GB2312" w:cs="Times New Roman"/>
                <w:b/>
                <w:bCs/>
                <w:spacing w:val="-1"/>
                <w:sz w:val="24"/>
                <w:szCs w:val="24"/>
                <w:lang w:val="en-GB" w:eastAsia="zh-CN"/>
              </w:rPr>
              <w:t>设备类型</w:t>
            </w:r>
          </w:p>
        </w:tc>
        <w:tc>
          <w:tcPr>
            <w:tcW w:w="1634" w:type="dxa"/>
            <w:tcBorders>
              <w:top w:val="single" w:color="auto" w:sz="4" w:space="0"/>
              <w:left w:val="single" w:color="auto" w:sz="4" w:space="0"/>
              <w:bottom w:val="single" w:color="auto" w:sz="4" w:space="0"/>
              <w:right w:val="single" w:color="auto" w:sz="4" w:space="0"/>
            </w:tcBorders>
            <w:vAlign w:val="center"/>
          </w:tcPr>
          <w:p w14:paraId="7C014949">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GB" w:eastAsia="en-US"/>
              </w:rPr>
            </w:pPr>
            <w:r>
              <w:rPr>
                <w:rFonts w:hint="default" w:ascii="Times New Roman" w:hAnsi="Times New Roman" w:eastAsia="仿宋_GB2312" w:cs="Times New Roman"/>
                <w:b/>
                <w:bCs/>
                <w:spacing w:val="-1"/>
                <w:sz w:val="24"/>
                <w:szCs w:val="24"/>
                <w:lang w:val="en-US" w:eastAsia="en-US"/>
              </w:rPr>
              <w:t>设备名称</w:t>
            </w:r>
          </w:p>
        </w:tc>
        <w:tc>
          <w:tcPr>
            <w:tcW w:w="3144" w:type="dxa"/>
            <w:tcBorders>
              <w:top w:val="single" w:color="auto" w:sz="4" w:space="0"/>
              <w:left w:val="single" w:color="auto" w:sz="4" w:space="0"/>
              <w:bottom w:val="single" w:color="auto" w:sz="4" w:space="0"/>
              <w:right w:val="single" w:color="auto" w:sz="4" w:space="0"/>
            </w:tcBorders>
            <w:vAlign w:val="center"/>
          </w:tcPr>
          <w:p w14:paraId="7BDAA586">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GB" w:eastAsia="en-US"/>
              </w:rPr>
            </w:pPr>
            <w:r>
              <w:rPr>
                <w:rFonts w:hint="default" w:ascii="Times New Roman" w:hAnsi="Times New Roman" w:eastAsia="仿宋_GB2312" w:cs="Times New Roman"/>
                <w:b/>
                <w:bCs/>
                <w:spacing w:val="-1"/>
                <w:sz w:val="24"/>
                <w:szCs w:val="24"/>
                <w:lang w:val="en-US" w:eastAsia="en-US"/>
              </w:rPr>
              <w:t>需求规格描述</w:t>
            </w:r>
          </w:p>
        </w:tc>
        <w:tc>
          <w:tcPr>
            <w:tcW w:w="1491" w:type="dxa"/>
            <w:tcBorders>
              <w:top w:val="single" w:color="auto" w:sz="4" w:space="0"/>
              <w:left w:val="single" w:color="auto" w:sz="4" w:space="0"/>
              <w:bottom w:val="single" w:color="auto" w:sz="4" w:space="0"/>
              <w:right w:val="single" w:color="auto" w:sz="4" w:space="0"/>
            </w:tcBorders>
            <w:vAlign w:val="center"/>
          </w:tcPr>
          <w:p w14:paraId="4ED8C315">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US" w:eastAsia="en-US"/>
              </w:rPr>
            </w:pPr>
            <w:r>
              <w:rPr>
                <w:rFonts w:hint="default" w:ascii="Times New Roman" w:hAnsi="Times New Roman" w:eastAsia="仿宋_GB2312" w:cs="Times New Roman"/>
                <w:b/>
                <w:bCs/>
                <w:spacing w:val="-1"/>
                <w:sz w:val="24"/>
                <w:szCs w:val="24"/>
                <w:lang w:val="en-US" w:eastAsia="en-US"/>
              </w:rPr>
              <w:t>应用</w:t>
            </w:r>
          </w:p>
          <w:p w14:paraId="5C3F8E45">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GB" w:eastAsia="en-US"/>
              </w:rPr>
            </w:pPr>
            <w:r>
              <w:rPr>
                <w:rFonts w:hint="default" w:ascii="Times New Roman" w:hAnsi="Times New Roman" w:eastAsia="仿宋_GB2312" w:cs="Times New Roman"/>
                <w:b/>
                <w:bCs/>
                <w:spacing w:val="-1"/>
                <w:sz w:val="24"/>
                <w:szCs w:val="24"/>
                <w:lang w:val="en-US" w:eastAsia="en-US"/>
              </w:rPr>
              <w:t>区域</w:t>
            </w:r>
          </w:p>
        </w:tc>
        <w:tc>
          <w:tcPr>
            <w:tcW w:w="920" w:type="dxa"/>
            <w:tcBorders>
              <w:top w:val="single" w:color="auto" w:sz="4" w:space="0"/>
              <w:left w:val="single" w:color="auto" w:sz="4" w:space="0"/>
              <w:bottom w:val="single" w:color="auto" w:sz="4" w:space="0"/>
              <w:right w:val="single" w:color="auto" w:sz="4" w:space="0"/>
            </w:tcBorders>
            <w:vAlign w:val="center"/>
          </w:tcPr>
          <w:p w14:paraId="7C183963">
            <w:pPr>
              <w:pStyle w:val="8"/>
              <w:widowControl w:val="0"/>
              <w:spacing w:before="91" w:line="216" w:lineRule="auto"/>
              <w:ind w:left="0" w:leftChars="0" w:firstLine="0" w:firstLineChars="0"/>
              <w:jc w:val="center"/>
              <w:rPr>
                <w:rFonts w:hint="default" w:ascii="Times New Roman" w:hAnsi="Times New Roman" w:eastAsia="仿宋_GB2312" w:cs="Times New Roman"/>
                <w:b/>
                <w:bCs/>
                <w:spacing w:val="-1"/>
                <w:sz w:val="24"/>
                <w:szCs w:val="24"/>
                <w:lang w:val="en-US" w:eastAsia="zh-CN"/>
              </w:rPr>
            </w:pPr>
            <w:r>
              <w:rPr>
                <w:rFonts w:hint="default" w:ascii="Times New Roman" w:hAnsi="Times New Roman" w:eastAsia="仿宋_GB2312" w:cs="Times New Roman"/>
                <w:b/>
                <w:bCs/>
                <w:spacing w:val="-1"/>
                <w:sz w:val="24"/>
                <w:szCs w:val="24"/>
                <w:lang w:val="en-US" w:eastAsia="zh-CN"/>
              </w:rPr>
              <w:t>数量单位</w:t>
            </w:r>
          </w:p>
        </w:tc>
      </w:tr>
      <w:tr w14:paraId="7827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324"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14:paraId="603CF286">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w:t>
            </w:r>
          </w:p>
        </w:tc>
        <w:tc>
          <w:tcPr>
            <w:tcW w:w="1496" w:type="dxa"/>
            <w:tcBorders>
              <w:top w:val="single" w:color="auto" w:sz="4" w:space="0"/>
              <w:left w:val="single" w:color="auto" w:sz="4" w:space="0"/>
              <w:bottom w:val="single" w:color="auto" w:sz="4" w:space="0"/>
              <w:right w:val="single" w:color="auto" w:sz="4" w:space="0"/>
            </w:tcBorders>
            <w:vAlign w:val="center"/>
          </w:tcPr>
          <w:p w14:paraId="2E96BE43">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赛位主要设备设施类</w:t>
            </w:r>
          </w:p>
        </w:tc>
        <w:tc>
          <w:tcPr>
            <w:tcW w:w="1634" w:type="dxa"/>
            <w:tcBorders>
              <w:top w:val="single" w:color="auto" w:sz="4" w:space="0"/>
              <w:left w:val="single" w:color="auto" w:sz="4" w:space="0"/>
              <w:bottom w:val="single" w:color="auto" w:sz="4" w:space="0"/>
              <w:right w:val="single" w:color="auto" w:sz="4" w:space="0"/>
            </w:tcBorders>
            <w:vAlign w:val="center"/>
          </w:tcPr>
          <w:p w14:paraId="5772F692">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竞赛计算机</w:t>
            </w:r>
          </w:p>
        </w:tc>
        <w:tc>
          <w:tcPr>
            <w:tcW w:w="3144" w:type="dxa"/>
            <w:tcBorders>
              <w:top w:val="single" w:color="auto" w:sz="4" w:space="0"/>
              <w:left w:val="single" w:color="auto" w:sz="4" w:space="0"/>
              <w:bottom w:val="single" w:color="auto" w:sz="4" w:space="0"/>
              <w:right w:val="single" w:color="auto" w:sz="4" w:space="0"/>
            </w:tcBorders>
            <w:vAlign w:val="center"/>
          </w:tcPr>
          <w:p w14:paraId="25356FC1">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CPU：不低于i5</w:t>
            </w:r>
          </w:p>
          <w:p w14:paraId="71FC4616">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eastAsia" w:cs="Times New Roman"/>
                <w:spacing w:val="-1"/>
                <w:sz w:val="24"/>
                <w:szCs w:val="24"/>
                <w:lang w:val="en-US" w:eastAsia="zh-CN"/>
              </w:rPr>
              <w:t>GPU：不低于2060</w:t>
            </w:r>
          </w:p>
          <w:p w14:paraId="2654671B">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内存：不低于8GB</w:t>
            </w:r>
          </w:p>
          <w:p w14:paraId="26BBA333">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硬盘：不低于200GB</w:t>
            </w:r>
          </w:p>
        </w:tc>
        <w:tc>
          <w:tcPr>
            <w:tcW w:w="1491" w:type="dxa"/>
            <w:vMerge w:val="restart"/>
            <w:tcBorders>
              <w:top w:val="single" w:color="auto" w:sz="4" w:space="0"/>
              <w:left w:val="single" w:color="auto" w:sz="4" w:space="0"/>
              <w:bottom w:val="single" w:color="auto" w:sz="4" w:space="0"/>
              <w:right w:val="single" w:color="auto" w:sz="4" w:space="0"/>
            </w:tcBorders>
            <w:vAlign w:val="center"/>
          </w:tcPr>
          <w:p w14:paraId="29B79352">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选手</w:t>
            </w:r>
          </w:p>
          <w:p w14:paraId="158A0378">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赛位</w:t>
            </w:r>
          </w:p>
        </w:tc>
        <w:tc>
          <w:tcPr>
            <w:tcW w:w="920" w:type="dxa"/>
            <w:tcBorders>
              <w:top w:val="single" w:color="auto" w:sz="4" w:space="0"/>
              <w:left w:val="single" w:color="auto" w:sz="4" w:space="0"/>
              <w:bottom w:val="single" w:color="auto" w:sz="4" w:space="0"/>
              <w:right w:val="single" w:color="auto" w:sz="4" w:space="0"/>
            </w:tcBorders>
            <w:vAlign w:val="center"/>
          </w:tcPr>
          <w:p w14:paraId="78D9E51C">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1台</w:t>
            </w:r>
          </w:p>
        </w:tc>
      </w:tr>
      <w:tr w14:paraId="23A8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324"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14:paraId="5324C0C9">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2</w:t>
            </w:r>
          </w:p>
        </w:tc>
        <w:tc>
          <w:tcPr>
            <w:tcW w:w="1496" w:type="dxa"/>
            <w:tcBorders>
              <w:top w:val="single" w:color="auto" w:sz="4" w:space="0"/>
              <w:left w:val="single" w:color="auto" w:sz="4" w:space="0"/>
              <w:bottom w:val="single" w:color="auto" w:sz="4" w:space="0"/>
              <w:right w:val="single" w:color="auto" w:sz="4" w:space="0"/>
            </w:tcBorders>
            <w:vAlign w:val="center"/>
          </w:tcPr>
          <w:p w14:paraId="66BE83E6">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赛位主要设备设施类</w:t>
            </w:r>
          </w:p>
        </w:tc>
        <w:tc>
          <w:tcPr>
            <w:tcW w:w="1634" w:type="dxa"/>
            <w:tcBorders>
              <w:top w:val="single" w:color="auto" w:sz="4" w:space="0"/>
              <w:left w:val="single" w:color="auto" w:sz="4" w:space="0"/>
              <w:bottom w:val="single" w:color="auto" w:sz="4" w:space="0"/>
              <w:right w:val="single" w:color="auto" w:sz="4" w:space="0"/>
            </w:tcBorders>
            <w:vAlign w:val="center"/>
          </w:tcPr>
          <w:p w14:paraId="199FDF51">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显示器</w:t>
            </w:r>
          </w:p>
        </w:tc>
        <w:tc>
          <w:tcPr>
            <w:tcW w:w="3144" w:type="dxa"/>
            <w:tcBorders>
              <w:top w:val="single" w:color="auto" w:sz="4" w:space="0"/>
              <w:left w:val="single" w:color="auto" w:sz="4" w:space="0"/>
              <w:bottom w:val="single" w:color="auto" w:sz="4" w:space="0"/>
              <w:right w:val="single" w:color="auto" w:sz="4" w:space="0"/>
            </w:tcBorders>
            <w:vAlign w:val="center"/>
          </w:tcPr>
          <w:p w14:paraId="2E72852C">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显示器不小于21寸</w:t>
            </w: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FCA2274">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p>
        </w:tc>
        <w:tc>
          <w:tcPr>
            <w:tcW w:w="920" w:type="dxa"/>
            <w:tcBorders>
              <w:top w:val="single" w:color="auto" w:sz="4" w:space="0"/>
              <w:left w:val="single" w:color="auto" w:sz="4" w:space="0"/>
              <w:bottom w:val="single" w:color="auto" w:sz="4" w:space="0"/>
              <w:right w:val="single" w:color="auto" w:sz="4" w:space="0"/>
            </w:tcBorders>
            <w:vAlign w:val="center"/>
          </w:tcPr>
          <w:p w14:paraId="06A1774B">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1台</w:t>
            </w:r>
          </w:p>
        </w:tc>
      </w:tr>
      <w:tr w14:paraId="587C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324"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14:paraId="7A0DFB38">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3</w:t>
            </w:r>
          </w:p>
        </w:tc>
        <w:tc>
          <w:tcPr>
            <w:tcW w:w="1496" w:type="dxa"/>
            <w:tcBorders>
              <w:top w:val="single" w:color="auto" w:sz="4" w:space="0"/>
              <w:left w:val="single" w:color="auto" w:sz="4" w:space="0"/>
              <w:bottom w:val="single" w:color="auto" w:sz="4" w:space="0"/>
              <w:right w:val="single" w:color="auto" w:sz="4" w:space="0"/>
            </w:tcBorders>
            <w:vAlign w:val="center"/>
          </w:tcPr>
          <w:p w14:paraId="1E421796">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赛位主要设备设施类</w:t>
            </w:r>
          </w:p>
        </w:tc>
        <w:tc>
          <w:tcPr>
            <w:tcW w:w="1634" w:type="dxa"/>
            <w:tcBorders>
              <w:top w:val="single" w:color="auto" w:sz="4" w:space="0"/>
              <w:left w:val="single" w:color="auto" w:sz="4" w:space="0"/>
              <w:bottom w:val="single" w:color="auto" w:sz="4" w:space="0"/>
              <w:right w:val="single" w:color="auto" w:sz="4" w:space="0"/>
            </w:tcBorders>
            <w:vAlign w:val="center"/>
          </w:tcPr>
          <w:p w14:paraId="5AF06613">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人工智能教学实验平台</w:t>
            </w:r>
          </w:p>
        </w:tc>
        <w:tc>
          <w:tcPr>
            <w:tcW w:w="3144" w:type="dxa"/>
            <w:tcBorders>
              <w:top w:val="single" w:color="auto" w:sz="4" w:space="0"/>
              <w:left w:val="single" w:color="auto" w:sz="4" w:space="0"/>
              <w:bottom w:val="single" w:color="auto" w:sz="4" w:space="0"/>
              <w:right w:val="single" w:color="auto" w:sz="4" w:space="0"/>
            </w:tcBorders>
            <w:vAlign w:val="center"/>
          </w:tcPr>
          <w:p w14:paraId="15E11FB1">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满足主流深度学习框架的各类实验案例</w:t>
            </w:r>
            <w:r>
              <w:rPr>
                <w:rFonts w:hint="eastAsia" w:ascii="Times New Roman" w:hAnsi="Times New Roman" w:eastAsia="仿宋_GB2312" w:cs="Times New Roman"/>
                <w:spacing w:val="-1"/>
                <w:sz w:val="24"/>
                <w:szCs w:val="24"/>
                <w:lang w:val="en-US" w:eastAsia="zh-CN"/>
              </w:rPr>
              <w:t>，</w:t>
            </w:r>
            <w:r>
              <w:rPr>
                <w:rFonts w:hint="default" w:ascii="Times New Roman" w:hAnsi="Times New Roman" w:eastAsia="仿宋_GB2312" w:cs="Times New Roman"/>
                <w:spacing w:val="-1"/>
                <w:sz w:val="24"/>
                <w:szCs w:val="24"/>
                <w:lang w:val="en-US" w:eastAsia="zh-CN"/>
              </w:rPr>
              <w:t>可在线完成分类、建模、分析、可视化、结果输出等任务</w:t>
            </w: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4A17EE5">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p>
        </w:tc>
        <w:tc>
          <w:tcPr>
            <w:tcW w:w="920" w:type="dxa"/>
            <w:tcBorders>
              <w:top w:val="single" w:color="auto" w:sz="4" w:space="0"/>
              <w:left w:val="single" w:color="auto" w:sz="4" w:space="0"/>
              <w:bottom w:val="single" w:color="auto" w:sz="4" w:space="0"/>
              <w:right w:val="single" w:color="auto" w:sz="4" w:space="0"/>
            </w:tcBorders>
            <w:vAlign w:val="center"/>
          </w:tcPr>
          <w:p w14:paraId="4F11F440">
            <w:pPr>
              <w:pStyle w:val="8"/>
              <w:widowControl w:val="0"/>
              <w:spacing w:before="91" w:line="216" w:lineRule="auto"/>
              <w:ind w:left="0" w:leftChars="0" w:firstLine="0" w:firstLineChars="0"/>
              <w:jc w:val="center"/>
              <w:rPr>
                <w:rFonts w:hint="default" w:ascii="Times New Roman" w:hAnsi="Times New Roman" w:eastAsia="仿宋_GB2312" w:cs="Times New Roman"/>
                <w:spacing w:val="-1"/>
                <w:sz w:val="24"/>
                <w:szCs w:val="24"/>
                <w:lang w:val="en-US" w:eastAsia="zh-CN"/>
              </w:rPr>
            </w:pPr>
            <w:r>
              <w:rPr>
                <w:rFonts w:hint="default" w:ascii="Times New Roman" w:hAnsi="Times New Roman" w:eastAsia="仿宋_GB2312" w:cs="Times New Roman"/>
                <w:spacing w:val="-1"/>
                <w:sz w:val="24"/>
                <w:szCs w:val="24"/>
                <w:lang w:val="en-US" w:eastAsia="zh-CN"/>
              </w:rPr>
              <w:t>1套</w:t>
            </w:r>
          </w:p>
        </w:tc>
      </w:tr>
      <w:bookmarkEnd w:id="81"/>
      <w:bookmarkEnd w:id="82"/>
    </w:tbl>
    <w:p w14:paraId="52EDD164">
      <w:pPr>
        <w:pStyle w:val="3"/>
        <w:bidi w:val="0"/>
        <w:rPr>
          <w:rFonts w:hint="eastAsia"/>
          <w:lang w:val="en-US" w:eastAsia="zh-CN"/>
        </w:rPr>
      </w:pPr>
      <w:bookmarkStart w:id="83" w:name="_Toc15013"/>
      <w:bookmarkStart w:id="84" w:name="_Toc107987993"/>
      <w:bookmarkStart w:id="85" w:name="_Toc19738"/>
      <w:bookmarkStart w:id="86" w:name="_Toc108109256"/>
      <w:bookmarkStart w:id="87" w:name="_Toc12933"/>
      <w:r>
        <w:rPr>
          <w:rFonts w:hint="eastAsia"/>
          <w:lang w:val="en-US" w:eastAsia="zh-CN"/>
        </w:rPr>
        <w:t>5</w:t>
      </w:r>
      <w:r>
        <w:rPr>
          <w:rFonts w:hint="eastAsia"/>
          <w:lang w:eastAsia="zh-CN"/>
        </w:rPr>
        <w:t>.</w:t>
      </w:r>
      <w:r>
        <w:rPr>
          <w:rFonts w:hint="eastAsia"/>
          <w:lang w:val="en-US" w:eastAsia="zh-CN"/>
        </w:rPr>
        <w:t>3</w:t>
      </w:r>
      <w:r>
        <w:rPr>
          <w:lang w:eastAsia="zh-CN"/>
        </w:rPr>
        <w:t xml:space="preserve"> 竞赛场地条件</w:t>
      </w:r>
      <w:bookmarkEnd w:id="83"/>
    </w:p>
    <w:p w14:paraId="120F49A7">
      <w:pPr>
        <w:bidi w:val="0"/>
        <w:rPr>
          <w:rFonts w:hint="eastAsia"/>
          <w:lang w:val="en-US" w:eastAsia="zh-CN"/>
        </w:rPr>
      </w:pPr>
      <w:r>
        <w:rPr>
          <w:rFonts w:hint="eastAsia"/>
          <w:lang w:val="en-US" w:eastAsia="zh-CN"/>
        </w:rPr>
        <w:t>本次人工智能竞赛赛场选址于T2教学楼实训区域，该区域严格按照专业化实训竞赛场地标准规划建设，建筑结构稳固、空间布局合理，强弱电线路、网络布线、通风照明、消防设施均符合省级职业技能竞赛场地建设规范。教学楼整体分区清晰，可实现竞赛区域、候考区域、裁判工作区域、设备储备区域、观摩区域的独立划分，有效规避赛场人员混杂、动线交叉等问题，保障赛事流程规范有序。同时，场地预留充足设备摆放、实操操作及安全疏散空间，配套基础设施完善，完全满足人工智能赛事长时间、规模化、标准化的举办条件，教学施工图如图1所示。</w:t>
      </w:r>
    </w:p>
    <w:p w14:paraId="2991C95C">
      <w:pPr>
        <w:bidi w:val="0"/>
        <w:rPr>
          <w:rFonts w:hint="eastAsia"/>
          <w:lang w:val="en-US" w:eastAsia="zh-CN"/>
        </w:rPr>
      </w:pPr>
      <w:r>
        <w:rPr>
          <w:rFonts w:hint="eastAsia"/>
          <w:lang w:val="en-US" w:eastAsia="zh-CN"/>
        </w:rPr>
        <w:drawing>
          <wp:inline distT="0" distB="0" distL="114300" distR="114300">
            <wp:extent cx="4968875" cy="4448175"/>
            <wp:effectExtent l="0" t="0" r="3175" b="9525"/>
            <wp:docPr id="1" name="图片 1" descr="9ebc4e997fea04d1ee0296d2c4fb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ebc4e997fea04d1ee0296d2c4fba22"/>
                    <pic:cNvPicPr>
                      <a:picLocks noChangeAspect="1"/>
                    </pic:cNvPicPr>
                  </pic:nvPicPr>
                  <pic:blipFill>
                    <a:blip r:embed="rId9"/>
                    <a:srcRect r="16755" b="3192"/>
                    <a:stretch>
                      <a:fillRect/>
                    </a:stretch>
                  </pic:blipFill>
                  <pic:spPr>
                    <a:xfrm>
                      <a:off x="0" y="0"/>
                      <a:ext cx="4968875" cy="4448175"/>
                    </a:xfrm>
                    <a:prstGeom prst="rect">
                      <a:avLst/>
                    </a:prstGeom>
                  </pic:spPr>
                </pic:pic>
              </a:graphicData>
            </a:graphic>
          </wp:inline>
        </w:drawing>
      </w:r>
    </w:p>
    <w:p w14:paraId="27600100">
      <w:pPr>
        <w:bidi w:val="0"/>
        <w:jc w:val="center"/>
        <w:rPr>
          <w:rFonts w:hint="eastAsia"/>
          <w:lang w:val="en-US" w:eastAsia="zh-CN"/>
        </w:rPr>
      </w:pPr>
      <w:r>
        <w:rPr>
          <w:rFonts w:hint="eastAsia"/>
          <w:lang w:val="en-US" w:eastAsia="zh-CN"/>
        </w:rPr>
        <w:t>图1 T2教学楼施工图</w:t>
      </w:r>
    </w:p>
    <w:p w14:paraId="5EC7D9BD">
      <w:pPr>
        <w:bidi w:val="0"/>
        <w:rPr>
          <w:rFonts w:hint="eastAsia"/>
          <w:lang w:val="en-US" w:eastAsia="zh-CN"/>
        </w:rPr>
      </w:pPr>
      <w:r>
        <w:rPr>
          <w:rFonts w:hint="eastAsia"/>
          <w:lang w:val="en-US" w:eastAsia="zh-CN"/>
        </w:rPr>
        <w:t>T2-A306实训室为本次人工智能竞赛核心竞赛场地，是依托专业人工智能实训体系打造的标准化竞赛专用场地。实训室空间规整、采光通风条件良好，室内网络全覆盖、供电稳定无波动，配备安全防护设施，适配人工智能模型训练、图像识别、算法调试、智能设备实操等各类赛项实操需求。场地按照赛事考核标准完成标准化布置，工位布局整齐规范，每个竞赛工位独立组网、独立供电，可保障参赛选手独立完成实操任务，杜绝工位之间的信号干扰、数据干扰问题。该实训室长期用于人工智能专业教学、实训及技能竞赛集训，场地环境、硬件条件、配套设施均经过长期实战检验，能够完美适配本次人工智能赛事的考核标准与举办要求，为赛事顺利开展提供优质的场地保障，图2为T2-A306实训室场地实拍图。</w:t>
      </w:r>
    </w:p>
    <w:p w14:paraId="3F6B7745">
      <w:pPr>
        <w:bidi w:val="0"/>
        <w:jc w:val="center"/>
        <w:rPr>
          <w:rFonts w:hint="eastAsia"/>
          <w:lang w:val="en-US" w:eastAsia="zh-CN"/>
        </w:rPr>
      </w:pPr>
      <w:r>
        <w:rPr>
          <w:rFonts w:hint="eastAsia"/>
          <w:lang w:val="en-US" w:eastAsia="zh-CN"/>
        </w:rPr>
        <w:drawing>
          <wp:inline distT="0" distB="0" distL="114300" distR="114300">
            <wp:extent cx="4572635" cy="3429635"/>
            <wp:effectExtent l="0" t="0" r="18415" b="18415"/>
            <wp:docPr id="2" name="图片 2" descr="b3edaa704358c08742ccb6ce7f29e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3edaa704358c08742ccb6ce7f29e3f"/>
                    <pic:cNvPicPr>
                      <a:picLocks noChangeAspect="1"/>
                    </pic:cNvPicPr>
                  </pic:nvPicPr>
                  <pic:blipFill>
                    <a:blip r:embed="rId10"/>
                    <a:stretch>
                      <a:fillRect/>
                    </a:stretch>
                  </pic:blipFill>
                  <pic:spPr>
                    <a:xfrm>
                      <a:off x="0" y="0"/>
                      <a:ext cx="4572635" cy="3429635"/>
                    </a:xfrm>
                    <a:prstGeom prst="rect">
                      <a:avLst/>
                    </a:prstGeom>
                  </pic:spPr>
                </pic:pic>
              </a:graphicData>
            </a:graphic>
          </wp:inline>
        </w:drawing>
      </w:r>
    </w:p>
    <w:p w14:paraId="515935DB">
      <w:pPr>
        <w:bidi w:val="0"/>
        <w:jc w:val="center"/>
        <w:rPr>
          <w:rFonts w:hint="default"/>
          <w:lang w:val="en-US" w:eastAsia="zh-CN"/>
        </w:rPr>
      </w:pPr>
      <w:r>
        <w:rPr>
          <w:rFonts w:hint="eastAsia"/>
          <w:lang w:val="en-US" w:eastAsia="zh-CN"/>
        </w:rPr>
        <w:t>图2 T2-A306实训室</w:t>
      </w:r>
    </w:p>
    <w:p w14:paraId="37E9A61D">
      <w:pPr>
        <w:pStyle w:val="2"/>
        <w:bidi w:val="0"/>
        <w:rPr>
          <w:lang w:eastAsia="zh-CN"/>
        </w:rPr>
      </w:pPr>
      <w:bookmarkStart w:id="88" w:name="_Toc29215"/>
      <w:r>
        <w:rPr>
          <w:rFonts w:hint="eastAsia"/>
          <w:lang w:val="en-US" w:eastAsia="zh-CN"/>
        </w:rPr>
        <w:t>六</w:t>
      </w:r>
      <w:r>
        <w:rPr>
          <w:rFonts w:hint="eastAsia"/>
          <w:lang w:eastAsia="zh-CN"/>
        </w:rPr>
        <w:t>、竞赛人员要求</w:t>
      </w:r>
    </w:p>
    <w:p w14:paraId="3D0B7ABD">
      <w:pPr>
        <w:pStyle w:val="3"/>
        <w:bidi w:val="0"/>
        <w:rPr>
          <w:lang w:eastAsia="zh-CN"/>
        </w:rPr>
      </w:pPr>
      <w:bookmarkStart w:id="89" w:name="_Toc4954"/>
      <w:bookmarkStart w:id="90" w:name="_Toc18050"/>
      <w:bookmarkStart w:id="91" w:name="_Toc108109257"/>
      <w:bookmarkStart w:id="92" w:name="_Toc137"/>
      <w:r>
        <w:rPr>
          <w:rFonts w:hint="eastAsia"/>
          <w:lang w:val="en-US" w:eastAsia="zh-CN"/>
        </w:rPr>
        <w:t>6.1</w:t>
      </w:r>
      <w:r>
        <w:rPr>
          <w:lang w:eastAsia="zh-CN"/>
        </w:rPr>
        <w:t xml:space="preserve"> 裁判员条件和工作内容</w:t>
      </w:r>
      <w:bookmarkEnd w:id="89"/>
      <w:bookmarkEnd w:id="90"/>
      <w:bookmarkEnd w:id="91"/>
      <w:bookmarkEnd w:id="92"/>
    </w:p>
    <w:p w14:paraId="35D1E332">
      <w:pPr>
        <w:pStyle w:val="4"/>
        <w:bidi w:val="0"/>
        <w:rPr>
          <w:lang w:eastAsia="zh-CN"/>
        </w:rPr>
      </w:pPr>
      <w:bookmarkStart w:id="93" w:name="_Toc7310"/>
      <w:bookmarkStart w:id="94" w:name="_Toc107129650"/>
      <w:bookmarkStart w:id="95" w:name="_Toc26200"/>
      <w:bookmarkStart w:id="96" w:name="_TOC_300030"/>
      <w:bookmarkStart w:id="97" w:name="_Toc13079"/>
      <w:bookmarkStart w:id="98" w:name="_Toc106539825"/>
      <w:bookmarkStart w:id="99" w:name="_Toc108109258"/>
      <w:r>
        <w:rPr>
          <w:rFonts w:hint="eastAsia"/>
          <w:lang w:val="en-US" w:eastAsia="zh-CN"/>
        </w:rPr>
        <w:t>6.1.1</w:t>
      </w:r>
      <w:r>
        <w:rPr>
          <w:lang w:eastAsia="zh-CN"/>
        </w:rPr>
        <w:t>裁判长</w:t>
      </w:r>
      <w:bookmarkEnd w:id="93"/>
      <w:bookmarkEnd w:id="94"/>
      <w:bookmarkEnd w:id="95"/>
      <w:bookmarkEnd w:id="96"/>
      <w:bookmarkEnd w:id="97"/>
      <w:bookmarkEnd w:id="98"/>
      <w:bookmarkEnd w:id="99"/>
    </w:p>
    <w:p w14:paraId="3DFBC3EA">
      <w:pPr>
        <w:bidi w:val="0"/>
        <w:rPr>
          <w:rFonts w:hint="eastAsia"/>
          <w:lang w:eastAsia="zh-CN"/>
        </w:rPr>
      </w:pPr>
      <w:r>
        <w:rPr>
          <w:rFonts w:hint="eastAsia"/>
          <w:lang w:eastAsia="zh-CN"/>
        </w:rPr>
        <w:t>赛场实行裁判长负责制，全面负责本赛项的竞赛执裁工作。裁判长和副裁判长由组委会技术工作委员会通过遴选审核确定。</w:t>
      </w:r>
    </w:p>
    <w:p w14:paraId="59C726E7">
      <w:pPr>
        <w:pStyle w:val="4"/>
        <w:bidi w:val="0"/>
        <w:rPr>
          <w:lang w:eastAsia="zh-CN"/>
        </w:rPr>
      </w:pPr>
      <w:bookmarkStart w:id="100" w:name="_Toc30988"/>
      <w:bookmarkStart w:id="101" w:name="_Toc108109259"/>
      <w:bookmarkStart w:id="102" w:name="_Toc107129651"/>
      <w:bookmarkStart w:id="103" w:name="_Toc24974"/>
      <w:bookmarkStart w:id="104" w:name="_Toc106539826"/>
      <w:bookmarkStart w:id="105" w:name="_TOC_300031"/>
      <w:bookmarkStart w:id="106" w:name="_Toc10953"/>
      <w:r>
        <w:rPr>
          <w:rFonts w:hint="eastAsia"/>
          <w:lang w:val="en-US" w:eastAsia="zh-CN"/>
        </w:rPr>
        <w:t>6.1.2</w:t>
      </w:r>
      <w:r>
        <w:rPr>
          <w:lang w:eastAsia="zh-CN"/>
        </w:rPr>
        <w:t>裁判员的条件和组成</w:t>
      </w:r>
      <w:bookmarkEnd w:id="100"/>
      <w:bookmarkEnd w:id="101"/>
      <w:bookmarkEnd w:id="102"/>
      <w:bookmarkEnd w:id="103"/>
      <w:bookmarkEnd w:id="104"/>
      <w:bookmarkEnd w:id="105"/>
      <w:bookmarkEnd w:id="106"/>
    </w:p>
    <w:p w14:paraId="2183433E">
      <w:pPr>
        <w:bidi w:val="0"/>
        <w:rPr>
          <w:rFonts w:hint="default"/>
          <w:lang w:eastAsia="zh-CN"/>
        </w:rPr>
      </w:pPr>
      <w:r>
        <w:rPr>
          <w:rFonts w:hint="default"/>
          <w:lang w:eastAsia="zh-CN"/>
        </w:rPr>
        <w:t>1</w:t>
      </w:r>
      <w:r>
        <w:rPr>
          <w:rFonts w:hint="eastAsia"/>
          <w:lang w:eastAsia="zh-CN"/>
        </w:rPr>
        <w:t>、</w:t>
      </w:r>
      <w:r>
        <w:rPr>
          <w:rFonts w:hint="default"/>
          <w:lang w:eastAsia="zh-CN"/>
        </w:rPr>
        <w:t>裁判员须符合裁判员工作管理规范，赛前由技术工作委员会统一组织裁判员培训。决赛参加执裁的裁判员由技术工作委员会抽取和推荐。被抽取或推荐的裁判员在大赛前可申请不参加裁判工作并放弃相应权利。一旦确认担任裁判员工作后，比赛中途不得更换人选。若裁判员不能满足裁判等技术工作需要，由裁判长按照大赛组委会相关要求处理。</w:t>
      </w:r>
    </w:p>
    <w:p w14:paraId="411F6725">
      <w:pPr>
        <w:bidi w:val="0"/>
        <w:rPr>
          <w:rFonts w:hint="default"/>
          <w:lang w:eastAsia="zh-CN"/>
        </w:rPr>
      </w:pPr>
      <w:r>
        <w:rPr>
          <w:rFonts w:hint="eastAsia"/>
          <w:lang w:val="en-US" w:eastAsia="zh-CN"/>
        </w:rPr>
        <w:t>2、</w:t>
      </w:r>
      <w:r>
        <w:rPr>
          <w:rFonts w:hint="default"/>
          <w:lang w:eastAsia="zh-CN"/>
        </w:rPr>
        <w:t>裁判员应服从裁判长的管理，裁判员的工作由裁判长指派或抽签决定。在工作时间内，裁判员不得徇私舞弊、无故迟到、早退、中途离开工作地或放弃工作，否则将视其影响程度进行相应处理，直至取消裁判员资格并记录在案。</w:t>
      </w:r>
    </w:p>
    <w:p w14:paraId="68E4EF64">
      <w:pPr>
        <w:bidi w:val="0"/>
        <w:rPr>
          <w:rFonts w:hint="default"/>
          <w:lang w:eastAsia="zh-CN"/>
        </w:rPr>
      </w:pPr>
      <w:r>
        <w:rPr>
          <w:rFonts w:hint="eastAsia"/>
          <w:lang w:val="en-US" w:eastAsia="zh-CN"/>
        </w:rPr>
        <w:t>3、</w:t>
      </w:r>
      <w:r>
        <w:rPr>
          <w:rFonts w:hint="default"/>
          <w:lang w:eastAsia="zh-CN"/>
        </w:rPr>
        <w:t>裁判员按工作需要，由裁判长将其分成加密裁判组、现场裁判组、过程结果评分组等若干小组开展工作。各小组在裁判长的统一安排下开展相应工作。检录由组委会统一安排。</w:t>
      </w:r>
    </w:p>
    <w:p w14:paraId="6391BB5A">
      <w:pPr>
        <w:pStyle w:val="4"/>
        <w:bidi w:val="0"/>
        <w:rPr>
          <w:lang w:eastAsia="zh-CN"/>
        </w:rPr>
      </w:pPr>
      <w:bookmarkStart w:id="107" w:name="_Toc2950"/>
      <w:bookmarkStart w:id="108" w:name="_Toc9524"/>
      <w:bookmarkStart w:id="109" w:name="_Toc6006"/>
      <w:bookmarkStart w:id="110" w:name="_Toc107129652"/>
      <w:bookmarkStart w:id="111" w:name="_Toc108109260"/>
      <w:bookmarkStart w:id="112" w:name="_TOC_300032"/>
      <w:bookmarkStart w:id="113" w:name="_Toc106539827"/>
      <w:r>
        <w:rPr>
          <w:rFonts w:hint="eastAsia"/>
          <w:lang w:val="en-US" w:eastAsia="zh-CN"/>
        </w:rPr>
        <w:t>6.1.3</w:t>
      </w:r>
      <w:r>
        <w:rPr>
          <w:lang w:eastAsia="zh-CN"/>
        </w:rPr>
        <w:t>裁判员的工作内容</w:t>
      </w:r>
      <w:bookmarkEnd w:id="107"/>
      <w:bookmarkEnd w:id="108"/>
      <w:bookmarkEnd w:id="109"/>
      <w:bookmarkEnd w:id="110"/>
      <w:bookmarkEnd w:id="111"/>
      <w:bookmarkEnd w:id="112"/>
      <w:bookmarkEnd w:id="113"/>
    </w:p>
    <w:p w14:paraId="0F98F9CE">
      <w:pPr>
        <w:bidi w:val="0"/>
        <w:rPr>
          <w:rFonts w:hint="default"/>
          <w:lang w:eastAsia="zh-CN"/>
        </w:rPr>
      </w:pPr>
      <w:bookmarkStart w:id="114" w:name="_Toc108615562"/>
      <w:bookmarkStart w:id="115" w:name="_Toc109205574"/>
      <w:bookmarkStart w:id="116" w:name="_Toc3068"/>
      <w:bookmarkStart w:id="117" w:name="_Toc108109261"/>
      <w:bookmarkStart w:id="118" w:name="_Toc28689"/>
      <w:bookmarkStart w:id="119" w:name="_Toc108109374"/>
      <w:r>
        <w:rPr>
          <w:rFonts w:hint="default"/>
          <w:lang w:val="en-US" w:eastAsia="zh-CN"/>
        </w:rPr>
        <w:t>1、</w:t>
      </w:r>
      <w:r>
        <w:rPr>
          <w:rFonts w:hint="default"/>
          <w:lang w:eastAsia="zh-CN"/>
        </w:rPr>
        <w:t>裁判员赛前培训</w:t>
      </w:r>
      <w:bookmarkEnd w:id="114"/>
      <w:bookmarkEnd w:id="115"/>
      <w:bookmarkEnd w:id="116"/>
      <w:bookmarkEnd w:id="117"/>
      <w:bookmarkEnd w:id="118"/>
      <w:bookmarkEnd w:id="119"/>
    </w:p>
    <w:p w14:paraId="5091452A">
      <w:pPr>
        <w:bidi w:val="0"/>
        <w:rPr>
          <w:rFonts w:hint="default"/>
          <w:lang w:eastAsia="zh-CN"/>
        </w:rPr>
      </w:pPr>
      <w:r>
        <w:rPr>
          <w:rFonts w:hint="default"/>
          <w:lang w:eastAsia="zh-CN"/>
        </w:rPr>
        <w:t>裁判员需在赛前参加裁判工作培训，掌握与执裁工作相关的大赛制度要求和赛项竞赛规则，具体包括：竞赛技术规则、竞赛技术平台、评分方式、评分标准、成绩管理流程、安全注意事项和安全应急预案等。</w:t>
      </w:r>
    </w:p>
    <w:p w14:paraId="17888AE6">
      <w:pPr>
        <w:bidi w:val="0"/>
        <w:rPr>
          <w:rFonts w:hint="default"/>
          <w:lang w:eastAsia="zh-CN"/>
        </w:rPr>
      </w:pPr>
      <w:bookmarkStart w:id="120" w:name="_Toc108109262"/>
      <w:bookmarkStart w:id="121" w:name="_Toc15567"/>
      <w:bookmarkStart w:id="122" w:name="_Toc108109375"/>
      <w:bookmarkStart w:id="123" w:name="_Toc109205575"/>
      <w:bookmarkStart w:id="124" w:name="_Toc15195"/>
      <w:bookmarkStart w:id="125" w:name="_Toc108615563"/>
      <w:r>
        <w:rPr>
          <w:rFonts w:hint="default"/>
          <w:lang w:val="en-US" w:eastAsia="zh-CN"/>
        </w:rPr>
        <w:t>2、</w:t>
      </w:r>
      <w:r>
        <w:rPr>
          <w:rFonts w:hint="default"/>
          <w:lang w:eastAsia="zh-CN"/>
        </w:rPr>
        <w:t>裁判员分组</w:t>
      </w:r>
      <w:bookmarkEnd w:id="120"/>
      <w:bookmarkEnd w:id="121"/>
      <w:bookmarkEnd w:id="122"/>
      <w:bookmarkEnd w:id="123"/>
      <w:bookmarkEnd w:id="124"/>
      <w:bookmarkEnd w:id="125"/>
    </w:p>
    <w:p w14:paraId="2A5B6D9A">
      <w:pPr>
        <w:bidi w:val="0"/>
        <w:rPr>
          <w:rFonts w:hint="default"/>
          <w:lang w:eastAsia="zh-CN"/>
        </w:rPr>
      </w:pPr>
      <w:r>
        <w:rPr>
          <w:rFonts w:hint="default"/>
          <w:lang w:eastAsia="zh-CN"/>
        </w:rPr>
        <w:t>在裁判长的安排下，对裁判员进行分组，并明确组内人员分工及工作职责、工作流程和工作要求等。</w:t>
      </w:r>
    </w:p>
    <w:p w14:paraId="106D50AE">
      <w:pPr>
        <w:bidi w:val="0"/>
        <w:rPr>
          <w:rFonts w:hint="default"/>
          <w:lang w:eastAsia="zh-CN"/>
        </w:rPr>
      </w:pPr>
      <w:bookmarkStart w:id="126" w:name="_Toc108109263"/>
      <w:bookmarkStart w:id="127" w:name="_Toc17943"/>
      <w:bookmarkStart w:id="128" w:name="_Toc109205576"/>
      <w:bookmarkStart w:id="129" w:name="_Toc1835"/>
      <w:bookmarkStart w:id="130" w:name="_Toc108109376"/>
      <w:bookmarkStart w:id="131" w:name="_Toc108615564"/>
      <w:r>
        <w:rPr>
          <w:rFonts w:hint="default"/>
          <w:lang w:val="en-US" w:eastAsia="zh-CN"/>
        </w:rPr>
        <w:t>3、</w:t>
      </w:r>
      <w:r>
        <w:rPr>
          <w:rFonts w:hint="default"/>
          <w:lang w:eastAsia="zh-CN"/>
        </w:rPr>
        <w:t>赛前准备</w:t>
      </w:r>
      <w:bookmarkEnd w:id="126"/>
      <w:bookmarkEnd w:id="127"/>
      <w:bookmarkEnd w:id="128"/>
      <w:bookmarkEnd w:id="129"/>
      <w:bookmarkEnd w:id="130"/>
      <w:bookmarkEnd w:id="131"/>
    </w:p>
    <w:p w14:paraId="54B695C7">
      <w:pPr>
        <w:bidi w:val="0"/>
        <w:rPr>
          <w:rFonts w:hint="default"/>
          <w:lang w:eastAsia="zh-CN"/>
        </w:rPr>
      </w:pPr>
      <w:r>
        <w:rPr>
          <w:rFonts w:hint="default"/>
          <w:lang w:eastAsia="zh-CN"/>
        </w:rPr>
        <w:t>裁判执裁前对赛场设备设施的规范性、完整性和安全性进行检查，做好执裁的准备工作。</w:t>
      </w:r>
    </w:p>
    <w:p w14:paraId="320059D2">
      <w:pPr>
        <w:bidi w:val="0"/>
        <w:rPr>
          <w:rFonts w:hint="default"/>
          <w:lang w:eastAsia="zh-CN"/>
        </w:rPr>
      </w:pPr>
      <w:bookmarkStart w:id="132" w:name="_Toc16940"/>
      <w:bookmarkStart w:id="133" w:name="_Toc108615565"/>
      <w:bookmarkStart w:id="134" w:name="_Toc108109264"/>
      <w:bookmarkStart w:id="135" w:name="_Toc108109377"/>
      <w:bookmarkStart w:id="136" w:name="_Toc4448"/>
      <w:bookmarkStart w:id="137" w:name="_Toc109205577"/>
      <w:r>
        <w:rPr>
          <w:rFonts w:hint="default"/>
          <w:lang w:val="en-US" w:eastAsia="zh-CN"/>
        </w:rPr>
        <w:t>4、</w:t>
      </w:r>
      <w:r>
        <w:rPr>
          <w:rFonts w:hint="default"/>
          <w:lang w:eastAsia="zh-CN"/>
        </w:rPr>
        <w:t>现场执裁</w:t>
      </w:r>
      <w:bookmarkEnd w:id="132"/>
      <w:bookmarkEnd w:id="133"/>
      <w:bookmarkEnd w:id="134"/>
      <w:bookmarkEnd w:id="135"/>
      <w:bookmarkEnd w:id="136"/>
      <w:bookmarkEnd w:id="137"/>
    </w:p>
    <w:p w14:paraId="1912DE7B">
      <w:pPr>
        <w:bidi w:val="0"/>
        <w:rPr>
          <w:rFonts w:hint="default"/>
          <w:lang w:eastAsia="zh-CN"/>
        </w:rPr>
      </w:pPr>
      <w:r>
        <w:rPr>
          <w:rFonts w:hint="default"/>
          <w:lang w:eastAsia="zh-CN"/>
        </w:rPr>
        <w:t>现场裁判负责引导选手在赛位或等候区域等待竞赛指令。期间，现场裁判需向选手宣读竞赛须知，提醒选手遵照安全规定和操作规范进行竞赛。竞赛过程中，裁判员不得单独接近选手，除非选手举手示意裁判解决竞赛中出现的问题，或选手出现严重违规行为。裁判员无权解释竞赛试题内容。竞赛中现场裁判需做好赛场纪律的维护，对有违规行为的选手提出警告，对严重违规选手，应按竞赛规程予以停赛或取消竞赛资格等处理，并记录在《赛场情况记录表》。在具有危险性的作业环节，裁判员要严防选手出现错误操作。现场裁判适时提醒选手竞赛剩余时间，到竞赛结束时，选手仍未停止作业，现场裁判在确保安全前提下有权强制终止选手作业。加密裁判和现场裁判负责检查选手携带的物品，违规物品一律清出赛场。竞赛结束后裁判员要命令选手停止竞赛，监督选手提交成果、图纸、电子存储设备、草稿纸等一切竞赛资料。竞赛换场期间，现场裁判须做好选手的隔离工作。</w:t>
      </w:r>
    </w:p>
    <w:p w14:paraId="2565EF3F">
      <w:pPr>
        <w:bidi w:val="0"/>
        <w:rPr>
          <w:rFonts w:hint="default"/>
          <w:lang w:eastAsia="zh-CN"/>
        </w:rPr>
      </w:pPr>
      <w:bookmarkStart w:id="138" w:name="_Toc108109265"/>
      <w:bookmarkStart w:id="139" w:name="_Toc108109378"/>
      <w:bookmarkStart w:id="140" w:name="_Toc109205578"/>
      <w:bookmarkStart w:id="141" w:name="_Toc1470"/>
      <w:bookmarkStart w:id="142" w:name="_Toc1174"/>
      <w:bookmarkStart w:id="143" w:name="_Toc108615566"/>
      <w:r>
        <w:rPr>
          <w:rFonts w:hint="default"/>
          <w:lang w:val="en-US" w:eastAsia="zh-CN"/>
        </w:rPr>
        <w:t>5、</w:t>
      </w:r>
      <w:r>
        <w:rPr>
          <w:rFonts w:hint="default"/>
          <w:lang w:eastAsia="zh-CN"/>
        </w:rPr>
        <w:t>竞赛加密和解密</w:t>
      </w:r>
      <w:bookmarkEnd w:id="138"/>
      <w:bookmarkEnd w:id="139"/>
      <w:bookmarkEnd w:id="140"/>
      <w:bookmarkEnd w:id="141"/>
      <w:bookmarkEnd w:id="142"/>
      <w:bookmarkEnd w:id="143"/>
    </w:p>
    <w:p w14:paraId="7FDF4871">
      <w:pPr>
        <w:bidi w:val="0"/>
        <w:rPr>
          <w:rFonts w:hint="default"/>
          <w:lang w:eastAsia="zh-CN"/>
        </w:rPr>
      </w:pPr>
      <w:r>
        <w:rPr>
          <w:rFonts w:hint="default"/>
          <w:lang w:eastAsia="zh-CN"/>
        </w:rPr>
        <w:t>加密由加密裁判负责；评分结果得出后，加密裁判在监督人员监督下对加密结果进行解密，并形成最终成绩单。</w:t>
      </w:r>
    </w:p>
    <w:p w14:paraId="1BCB7079">
      <w:pPr>
        <w:bidi w:val="0"/>
        <w:rPr>
          <w:rFonts w:hint="default"/>
          <w:lang w:eastAsia="zh-CN"/>
        </w:rPr>
      </w:pPr>
      <w:bookmarkStart w:id="144" w:name="_Toc108109266"/>
      <w:bookmarkStart w:id="145" w:name="_Toc108615567"/>
      <w:bookmarkStart w:id="146" w:name="_Toc108109379"/>
      <w:bookmarkStart w:id="147" w:name="_Toc24074"/>
      <w:bookmarkStart w:id="148" w:name="_Toc7133"/>
      <w:bookmarkStart w:id="149" w:name="_Toc109205579"/>
      <w:r>
        <w:rPr>
          <w:rFonts w:hint="default"/>
          <w:lang w:val="en-US" w:eastAsia="zh-CN"/>
        </w:rPr>
        <w:t>6、</w:t>
      </w:r>
      <w:r>
        <w:rPr>
          <w:rFonts w:hint="default"/>
          <w:lang w:eastAsia="zh-CN"/>
        </w:rPr>
        <w:t>竞赛材料管理</w:t>
      </w:r>
      <w:bookmarkEnd w:id="144"/>
      <w:bookmarkEnd w:id="145"/>
      <w:bookmarkEnd w:id="146"/>
      <w:bookmarkEnd w:id="147"/>
      <w:bookmarkEnd w:id="148"/>
      <w:bookmarkEnd w:id="149"/>
    </w:p>
    <w:p w14:paraId="23289247">
      <w:pPr>
        <w:bidi w:val="0"/>
        <w:rPr>
          <w:rFonts w:hint="default"/>
          <w:lang w:eastAsia="zh-CN"/>
        </w:rPr>
      </w:pPr>
      <w:r>
        <w:rPr>
          <w:rFonts w:hint="default"/>
          <w:lang w:eastAsia="zh-CN"/>
        </w:rPr>
        <w:t>现场裁判须在规定时间发放赛题等竞赛材料，于赛后回收、密封所有竞赛资料并将其交给承办单位就地保存。</w:t>
      </w:r>
    </w:p>
    <w:p w14:paraId="56C01259">
      <w:pPr>
        <w:bidi w:val="0"/>
        <w:rPr>
          <w:rFonts w:hint="default"/>
          <w:lang w:eastAsia="zh-CN"/>
        </w:rPr>
      </w:pPr>
      <w:bookmarkStart w:id="150" w:name="_Toc24964"/>
      <w:bookmarkStart w:id="151" w:name="_Toc108615568"/>
      <w:bookmarkStart w:id="152" w:name="_Toc108109267"/>
      <w:bookmarkStart w:id="153" w:name="_Toc108109380"/>
      <w:bookmarkStart w:id="154" w:name="_Toc109205580"/>
      <w:bookmarkStart w:id="155" w:name="_Toc15177"/>
      <w:r>
        <w:rPr>
          <w:rFonts w:hint="default"/>
          <w:lang w:val="en-US" w:eastAsia="zh-CN"/>
        </w:rPr>
        <w:t>7、</w:t>
      </w:r>
      <w:r>
        <w:rPr>
          <w:rFonts w:hint="default"/>
          <w:lang w:eastAsia="zh-CN"/>
        </w:rPr>
        <w:t>成绩复核及数据录入、统计</w:t>
      </w:r>
      <w:bookmarkEnd w:id="150"/>
      <w:bookmarkEnd w:id="151"/>
      <w:bookmarkEnd w:id="152"/>
      <w:bookmarkEnd w:id="153"/>
      <w:bookmarkEnd w:id="154"/>
      <w:bookmarkEnd w:id="155"/>
    </w:p>
    <w:p w14:paraId="20608262">
      <w:pPr>
        <w:bidi w:val="0"/>
        <w:rPr>
          <w:rFonts w:hint="default"/>
          <w:lang w:eastAsia="zh-CN"/>
        </w:rPr>
      </w:pPr>
      <w:r>
        <w:rPr>
          <w:rFonts w:hint="default"/>
          <w:lang w:eastAsia="zh-CN"/>
        </w:rPr>
        <w:t>如在成绩复核中发现错误，裁判长须会同相关评分裁判更正成绩并签字确认。</w:t>
      </w:r>
    </w:p>
    <w:p w14:paraId="14BB2A8F">
      <w:pPr>
        <w:pStyle w:val="4"/>
        <w:bidi w:val="0"/>
        <w:rPr>
          <w:lang w:eastAsia="zh-CN"/>
        </w:rPr>
      </w:pPr>
      <w:bookmarkStart w:id="156" w:name="_Toc17758"/>
      <w:bookmarkStart w:id="157" w:name="_TOC_300033"/>
      <w:bookmarkStart w:id="158" w:name="_Toc106539828"/>
      <w:bookmarkStart w:id="159" w:name="_Toc4551"/>
      <w:bookmarkStart w:id="160" w:name="_Toc108109268"/>
      <w:bookmarkStart w:id="161" w:name="_Toc107129653"/>
      <w:bookmarkStart w:id="162" w:name="_Toc10771"/>
      <w:r>
        <w:rPr>
          <w:rFonts w:hint="eastAsia"/>
          <w:lang w:val="en-US" w:eastAsia="zh-CN"/>
        </w:rPr>
        <w:t>6.1.4</w:t>
      </w:r>
      <w:r>
        <w:rPr>
          <w:lang w:eastAsia="zh-CN"/>
        </w:rPr>
        <w:t>裁判员在评判工作中的任务</w:t>
      </w:r>
      <w:bookmarkEnd w:id="156"/>
      <w:bookmarkEnd w:id="157"/>
      <w:bookmarkEnd w:id="158"/>
      <w:bookmarkEnd w:id="159"/>
      <w:bookmarkEnd w:id="160"/>
      <w:bookmarkEnd w:id="161"/>
      <w:bookmarkEnd w:id="162"/>
    </w:p>
    <w:p w14:paraId="7069B2B1">
      <w:pPr>
        <w:bidi w:val="0"/>
        <w:rPr>
          <w:rFonts w:hint="eastAsia"/>
          <w:lang w:val="en-US" w:eastAsia="zh-CN"/>
        </w:rPr>
      </w:pPr>
      <w:r>
        <w:rPr>
          <w:rFonts w:hint="eastAsia"/>
          <w:lang w:val="en-US" w:eastAsia="zh-CN"/>
        </w:rPr>
        <w:t>现场裁判根据裁判长的安排，在竞赛过程中进行执裁，根据参赛选手的现场表现，依据赛题要求、评分细则完成过程记录和评分，填写记录评分表并签字确认；结果评分裁判根据参赛选手提交的竞赛成果，依据评分细则进行评分；统分裁判负责在监督人员监督下完成统分工作，统分表须由统分裁判、裁判长、监督仲裁组成员共同签字确认。各模块统分结束后，统分裁判在监督仲裁人员监督下完成汇总计分工作，填写成绩汇总表。在正式公布竞赛成绩之前，任何人员不得泄露评分结果。</w:t>
      </w:r>
    </w:p>
    <w:p w14:paraId="3B13DE21">
      <w:pPr>
        <w:pStyle w:val="4"/>
        <w:bidi w:val="0"/>
        <w:rPr>
          <w:lang w:eastAsia="zh-CN"/>
        </w:rPr>
      </w:pPr>
      <w:bookmarkStart w:id="163" w:name="_Toc107129654"/>
      <w:bookmarkStart w:id="164" w:name="_Toc1283"/>
      <w:bookmarkStart w:id="165" w:name="_Toc13620"/>
      <w:bookmarkStart w:id="166" w:name="_Toc108109269"/>
      <w:bookmarkStart w:id="167" w:name="_Toc21083"/>
      <w:bookmarkStart w:id="168" w:name="_Toc106539829"/>
      <w:bookmarkStart w:id="169" w:name="_TOC_300034"/>
      <w:r>
        <w:rPr>
          <w:rFonts w:hint="eastAsia"/>
          <w:lang w:val="en-US" w:eastAsia="zh-CN"/>
        </w:rPr>
        <w:t>6.1.5</w:t>
      </w:r>
      <w:r>
        <w:rPr>
          <w:lang w:eastAsia="zh-CN"/>
        </w:rPr>
        <w:t xml:space="preserve"> 裁判员在评判中的纪律和要求</w:t>
      </w:r>
      <w:bookmarkEnd w:id="163"/>
      <w:bookmarkEnd w:id="164"/>
      <w:bookmarkEnd w:id="165"/>
      <w:bookmarkEnd w:id="166"/>
      <w:bookmarkEnd w:id="167"/>
      <w:bookmarkEnd w:id="168"/>
      <w:bookmarkEnd w:id="169"/>
    </w:p>
    <w:p w14:paraId="74425630">
      <w:pPr>
        <w:bidi w:val="0"/>
        <w:rPr>
          <w:rFonts w:hint="default"/>
          <w:lang w:val="en-US" w:eastAsia="zh-CN"/>
        </w:rPr>
      </w:pPr>
      <w:r>
        <w:rPr>
          <w:rFonts w:hint="eastAsia"/>
          <w:lang w:val="en-US" w:eastAsia="zh-CN"/>
        </w:rPr>
        <w:t>1、</w:t>
      </w:r>
      <w:r>
        <w:rPr>
          <w:rFonts w:hint="default"/>
          <w:lang w:val="en-US" w:eastAsia="zh-CN"/>
        </w:rPr>
        <w:t>裁判必须服从竞赛规则要求，认真履行相关工作职责。裁判在工作期间不得使用手机、照相机、录像机等通信和数据存储设备。在竞赛、评分过程中，不得拍照赛题、图纸。</w:t>
      </w:r>
    </w:p>
    <w:p w14:paraId="4C7AEFFB">
      <w:pPr>
        <w:bidi w:val="0"/>
        <w:rPr>
          <w:rFonts w:hint="default"/>
          <w:lang w:val="en-US" w:eastAsia="zh-CN"/>
        </w:rPr>
      </w:pPr>
      <w:r>
        <w:rPr>
          <w:rFonts w:hint="eastAsia"/>
          <w:lang w:val="en-US" w:eastAsia="zh-CN"/>
        </w:rPr>
        <w:t>2、</w:t>
      </w:r>
      <w:r>
        <w:rPr>
          <w:rFonts w:hint="default"/>
          <w:lang w:val="en-US" w:eastAsia="zh-CN"/>
        </w:rPr>
        <w:t>监督仲裁人员不得干扰裁判工作，对于执裁评分的质疑应向裁判长提出，并由裁判长对相关问题做出解释和解决。</w:t>
      </w:r>
    </w:p>
    <w:p w14:paraId="4B571AA9">
      <w:pPr>
        <w:bidi w:val="0"/>
        <w:rPr>
          <w:rFonts w:hint="default"/>
          <w:lang w:val="en-US" w:eastAsia="zh-CN"/>
        </w:rPr>
      </w:pPr>
      <w:r>
        <w:rPr>
          <w:rFonts w:hint="eastAsia"/>
          <w:lang w:val="en-US" w:eastAsia="zh-CN"/>
        </w:rPr>
        <w:t>3、</w:t>
      </w:r>
      <w:r>
        <w:rPr>
          <w:rFonts w:hint="default"/>
          <w:lang w:val="en-US" w:eastAsia="zh-CN"/>
        </w:rPr>
        <w:t>过程评分要由至少两位裁判共同执裁。</w:t>
      </w:r>
    </w:p>
    <w:p w14:paraId="076CCC6D">
      <w:pPr>
        <w:bidi w:val="0"/>
        <w:rPr>
          <w:rFonts w:hint="default"/>
          <w:lang w:val="en-US" w:eastAsia="zh-CN"/>
        </w:rPr>
      </w:pPr>
      <w:r>
        <w:rPr>
          <w:rFonts w:hint="eastAsia"/>
          <w:lang w:val="en-US" w:eastAsia="zh-CN"/>
        </w:rPr>
        <w:t>4、</w:t>
      </w:r>
      <w:r>
        <w:rPr>
          <w:rFonts w:hint="default"/>
          <w:lang w:val="en-US" w:eastAsia="zh-CN"/>
        </w:rPr>
        <w:t>现场裁判应及时响应参赛选手提出的问题和合理要求。</w:t>
      </w:r>
    </w:p>
    <w:p w14:paraId="4A72D087">
      <w:pPr>
        <w:bidi w:val="0"/>
        <w:rPr>
          <w:rFonts w:hint="default"/>
          <w:lang w:val="en-US" w:eastAsia="zh-CN"/>
        </w:rPr>
      </w:pPr>
      <w:r>
        <w:rPr>
          <w:rFonts w:hint="eastAsia"/>
          <w:lang w:val="en-US" w:eastAsia="zh-CN"/>
        </w:rPr>
        <w:t>5、</w:t>
      </w:r>
      <w:r>
        <w:rPr>
          <w:rFonts w:hint="default"/>
          <w:lang w:val="en-US" w:eastAsia="zh-CN"/>
        </w:rPr>
        <w:t>现场裁判发现选手不当操作可能产生安全问题，应及时提醒，并做好记录。</w:t>
      </w:r>
    </w:p>
    <w:p w14:paraId="44133843">
      <w:pPr>
        <w:bidi w:val="0"/>
        <w:rPr>
          <w:rFonts w:hint="default"/>
          <w:lang w:val="en-US" w:eastAsia="zh-CN"/>
        </w:rPr>
      </w:pPr>
      <w:r>
        <w:rPr>
          <w:rFonts w:hint="eastAsia"/>
          <w:lang w:val="en-US" w:eastAsia="zh-CN"/>
        </w:rPr>
        <w:t>6、</w:t>
      </w:r>
      <w:r>
        <w:rPr>
          <w:rFonts w:hint="default"/>
          <w:lang w:val="en-US" w:eastAsia="zh-CN"/>
        </w:rPr>
        <w:t>现场裁判不得在竞赛选手附近评论或讨论任何问题。</w:t>
      </w:r>
    </w:p>
    <w:p w14:paraId="1B55F608">
      <w:pPr>
        <w:bidi w:val="0"/>
        <w:rPr>
          <w:rFonts w:hint="default"/>
          <w:lang w:val="en-US" w:eastAsia="zh-CN"/>
        </w:rPr>
      </w:pPr>
      <w:r>
        <w:rPr>
          <w:rFonts w:hint="eastAsia"/>
          <w:lang w:val="en-US" w:eastAsia="zh-CN"/>
        </w:rPr>
        <w:t>7、</w:t>
      </w:r>
      <w:r>
        <w:rPr>
          <w:rFonts w:hint="default"/>
          <w:lang w:val="en-US" w:eastAsia="zh-CN"/>
        </w:rPr>
        <w:t>职业素养评判时不得相互讨论，不得引导他人判断。</w:t>
      </w:r>
    </w:p>
    <w:p w14:paraId="14587069">
      <w:pPr>
        <w:bidi w:val="0"/>
        <w:rPr>
          <w:rFonts w:hint="default"/>
          <w:lang w:val="en-US" w:eastAsia="zh-CN"/>
        </w:rPr>
      </w:pPr>
      <w:r>
        <w:rPr>
          <w:rFonts w:hint="eastAsia"/>
          <w:lang w:val="en-US" w:eastAsia="zh-CN"/>
        </w:rPr>
        <w:t>8、</w:t>
      </w:r>
      <w:r>
        <w:rPr>
          <w:rFonts w:hint="default"/>
          <w:lang w:val="en-US" w:eastAsia="zh-CN"/>
        </w:rPr>
        <w:t>裁判长有权对评判不当造成不良影响等情况的裁判人员做出终止其裁判工作的处理。</w:t>
      </w:r>
    </w:p>
    <w:p w14:paraId="6BA90DAC">
      <w:pPr>
        <w:pStyle w:val="3"/>
        <w:bidi w:val="0"/>
        <w:rPr>
          <w:lang w:eastAsia="zh-CN"/>
        </w:rPr>
      </w:pPr>
      <w:bookmarkStart w:id="170" w:name="_TOC_300035"/>
      <w:bookmarkStart w:id="171" w:name="_Toc107129655"/>
      <w:bookmarkStart w:id="172" w:name="_Toc108109270"/>
      <w:bookmarkStart w:id="173" w:name="_Toc106539830"/>
      <w:bookmarkStart w:id="174" w:name="_Toc10132"/>
      <w:bookmarkStart w:id="175" w:name="_Toc27399"/>
      <w:bookmarkStart w:id="176" w:name="_Toc22589"/>
      <w:r>
        <w:rPr>
          <w:rFonts w:hint="eastAsia"/>
          <w:lang w:val="en-US" w:eastAsia="zh-CN"/>
        </w:rPr>
        <w:t xml:space="preserve">6.2 </w:t>
      </w:r>
      <w:r>
        <w:rPr>
          <w:lang w:eastAsia="zh-CN"/>
        </w:rPr>
        <w:t>选手条</w:t>
      </w:r>
      <w:bookmarkEnd w:id="170"/>
      <w:r>
        <w:rPr>
          <w:lang w:eastAsia="zh-CN"/>
        </w:rPr>
        <w:t>件和工作内容</w:t>
      </w:r>
      <w:bookmarkEnd w:id="171"/>
      <w:bookmarkEnd w:id="172"/>
      <w:bookmarkEnd w:id="173"/>
      <w:bookmarkEnd w:id="174"/>
      <w:bookmarkEnd w:id="175"/>
      <w:bookmarkEnd w:id="176"/>
    </w:p>
    <w:p w14:paraId="49B5DD18">
      <w:pPr>
        <w:pStyle w:val="4"/>
        <w:bidi w:val="0"/>
        <w:rPr>
          <w:lang w:eastAsia="zh-CN"/>
        </w:rPr>
      </w:pPr>
      <w:bookmarkStart w:id="177" w:name="_Toc108109271"/>
      <w:bookmarkStart w:id="178" w:name="_Toc107129656"/>
      <w:bookmarkStart w:id="179" w:name="_TOC_300036"/>
      <w:bookmarkStart w:id="180" w:name="_Toc5790"/>
      <w:bookmarkStart w:id="181" w:name="_Toc106539831"/>
      <w:bookmarkStart w:id="182" w:name="_Toc27087"/>
      <w:bookmarkStart w:id="183" w:name="_Toc31914"/>
      <w:r>
        <w:rPr>
          <w:rFonts w:hint="eastAsia"/>
          <w:lang w:val="en-US" w:eastAsia="zh-CN"/>
        </w:rPr>
        <w:t>6.2.</w:t>
      </w:r>
      <w:r>
        <w:rPr>
          <w:rFonts w:hint="default"/>
          <w:lang w:eastAsia="zh-CN"/>
        </w:rPr>
        <w:t>1</w:t>
      </w:r>
      <w:r>
        <w:rPr>
          <w:lang w:eastAsia="zh-CN"/>
        </w:rPr>
        <w:t xml:space="preserve"> 选手的条件和要求</w:t>
      </w:r>
      <w:bookmarkEnd w:id="177"/>
      <w:bookmarkEnd w:id="178"/>
      <w:bookmarkEnd w:id="179"/>
      <w:bookmarkEnd w:id="180"/>
      <w:bookmarkEnd w:id="181"/>
      <w:bookmarkEnd w:id="182"/>
      <w:bookmarkEnd w:id="183"/>
    </w:p>
    <w:p w14:paraId="030BDD44">
      <w:pPr>
        <w:bidi w:val="0"/>
        <w:rPr>
          <w:rFonts w:hint="eastAsia"/>
          <w:lang w:val="en-US" w:eastAsia="zh-CN"/>
        </w:rPr>
      </w:pPr>
      <w:r>
        <w:rPr>
          <w:rFonts w:hint="eastAsia"/>
          <w:lang w:val="en-US" w:eastAsia="zh-CN"/>
        </w:rPr>
        <w:t>凡从事相关专业或职业的柳州企事业单位在职职工均可报名参加本次比赛。具体报名通知另行发布。</w:t>
      </w:r>
    </w:p>
    <w:p w14:paraId="5ADF72F7">
      <w:pPr>
        <w:pStyle w:val="4"/>
        <w:bidi w:val="0"/>
        <w:rPr>
          <w:lang w:eastAsia="zh-CN"/>
        </w:rPr>
      </w:pPr>
      <w:bookmarkStart w:id="184" w:name="_Toc106539832"/>
      <w:bookmarkStart w:id="185" w:name="_TOC_300037"/>
      <w:bookmarkStart w:id="186" w:name="_Toc31239"/>
      <w:bookmarkStart w:id="187" w:name="_Toc108109272"/>
      <w:bookmarkStart w:id="188" w:name="_Toc1621"/>
      <w:bookmarkStart w:id="189" w:name="_Toc107129657"/>
      <w:bookmarkStart w:id="190" w:name="_Toc29844"/>
      <w:r>
        <w:rPr>
          <w:rFonts w:hint="eastAsia"/>
          <w:lang w:val="en-US" w:eastAsia="zh-CN"/>
        </w:rPr>
        <w:t>6.2.</w:t>
      </w:r>
      <w:r>
        <w:rPr>
          <w:rFonts w:hint="default"/>
          <w:lang w:eastAsia="zh-CN"/>
        </w:rPr>
        <w:t>2</w:t>
      </w:r>
      <w:r>
        <w:rPr>
          <w:lang w:eastAsia="zh-CN"/>
        </w:rPr>
        <w:t xml:space="preserve"> 选手的工作内容</w:t>
      </w:r>
      <w:bookmarkEnd w:id="184"/>
      <w:bookmarkEnd w:id="185"/>
      <w:bookmarkEnd w:id="186"/>
      <w:bookmarkEnd w:id="187"/>
      <w:bookmarkEnd w:id="188"/>
      <w:bookmarkEnd w:id="189"/>
      <w:bookmarkEnd w:id="190"/>
    </w:p>
    <w:p w14:paraId="47C0D8C9">
      <w:pPr>
        <w:bidi w:val="0"/>
        <w:rPr>
          <w:rFonts w:hint="default"/>
          <w:lang w:val="en-US" w:eastAsia="zh-CN"/>
        </w:rPr>
      </w:pPr>
      <w:r>
        <w:rPr>
          <w:rFonts w:hint="default"/>
          <w:lang w:val="en-US" w:eastAsia="zh-CN"/>
        </w:rPr>
        <w:t>1、赛前安排各参赛队选手统一有序的熟悉竞赛场地和设备，允许使用电脑软件、测试通信，不允许拆装设备、不允许修改软件、设备参数等。熟悉场地时，不得携带手机、相机等设备，不得对赛场及赛场设备拍照。熟悉场地时不发表没有根据以及有损大赛整体形象的言论。熟悉场地时严格遵守大赛各种制度，严禁拥挤、喧哗，以免发生意外事故。</w:t>
      </w:r>
    </w:p>
    <w:p w14:paraId="69BB1D31">
      <w:pPr>
        <w:bidi w:val="0"/>
        <w:rPr>
          <w:rFonts w:hint="default"/>
          <w:lang w:val="en-US" w:eastAsia="zh-CN"/>
        </w:rPr>
      </w:pPr>
      <w:bookmarkStart w:id="191" w:name="_Toc108109387"/>
      <w:bookmarkStart w:id="192" w:name="_Toc108109274"/>
      <w:bookmarkStart w:id="193" w:name="_Toc108615575"/>
      <w:r>
        <w:rPr>
          <w:rFonts w:hint="default"/>
          <w:lang w:val="en-US" w:eastAsia="zh-CN"/>
        </w:rPr>
        <w:t>2、检录时选手抽签确定赛位。</w:t>
      </w:r>
      <w:bookmarkEnd w:id="191"/>
      <w:bookmarkEnd w:id="192"/>
      <w:bookmarkEnd w:id="193"/>
    </w:p>
    <w:p w14:paraId="71EEF146">
      <w:pPr>
        <w:bidi w:val="0"/>
        <w:rPr>
          <w:rFonts w:hint="default"/>
          <w:lang w:val="en-US" w:eastAsia="zh-CN"/>
        </w:rPr>
      </w:pPr>
      <w:bookmarkStart w:id="194" w:name="_Toc108109275"/>
      <w:bookmarkStart w:id="195" w:name="_Toc108109388"/>
      <w:bookmarkStart w:id="196" w:name="_Toc108615576"/>
      <w:r>
        <w:rPr>
          <w:rFonts w:hint="default"/>
          <w:lang w:val="en-US" w:eastAsia="zh-CN"/>
        </w:rPr>
        <w:t>3、竞赛过程中，选手遵守竞赛纪律，服从赛场规范，按照赛题要求完成竞赛。</w:t>
      </w:r>
      <w:bookmarkEnd w:id="194"/>
      <w:bookmarkEnd w:id="195"/>
      <w:bookmarkEnd w:id="196"/>
    </w:p>
    <w:p w14:paraId="4E1748E1">
      <w:pPr>
        <w:bidi w:val="0"/>
        <w:rPr>
          <w:rFonts w:hint="default"/>
          <w:lang w:val="en-US" w:eastAsia="zh-CN"/>
        </w:rPr>
      </w:pPr>
      <w:bookmarkStart w:id="197" w:name="_Toc108109276"/>
      <w:bookmarkStart w:id="198" w:name="_Toc108615577"/>
      <w:bookmarkStart w:id="199" w:name="_Toc108109389"/>
      <w:r>
        <w:rPr>
          <w:rFonts w:hint="default"/>
          <w:lang w:val="en-US" w:eastAsia="zh-CN"/>
        </w:rPr>
        <w:t>4、竞赛结束时，选手按照裁判员要求停止操作，并提交电子存储设备、赛题、图纸、草稿纸等所有相关资料。</w:t>
      </w:r>
      <w:bookmarkEnd w:id="197"/>
      <w:bookmarkEnd w:id="198"/>
      <w:bookmarkEnd w:id="199"/>
    </w:p>
    <w:p w14:paraId="1C62CC00">
      <w:pPr>
        <w:pStyle w:val="4"/>
        <w:bidi w:val="0"/>
        <w:rPr>
          <w:lang w:eastAsia="zh-CN"/>
        </w:rPr>
      </w:pPr>
      <w:bookmarkStart w:id="200" w:name="_Toc8366"/>
      <w:bookmarkStart w:id="201" w:name="_Toc30956"/>
      <w:bookmarkStart w:id="202" w:name="_Toc1689"/>
      <w:bookmarkStart w:id="203" w:name="_Toc108109277"/>
      <w:bookmarkStart w:id="204" w:name="_Toc107129658"/>
      <w:bookmarkStart w:id="205" w:name="_Toc106539833"/>
      <w:bookmarkStart w:id="206" w:name="_TOC_300038"/>
      <w:r>
        <w:rPr>
          <w:rFonts w:hint="eastAsia"/>
          <w:lang w:val="en-US" w:eastAsia="zh-CN"/>
        </w:rPr>
        <w:t>6.2.</w:t>
      </w:r>
      <w:r>
        <w:rPr>
          <w:rFonts w:hint="default"/>
          <w:lang w:eastAsia="zh-CN"/>
        </w:rPr>
        <w:t>3</w:t>
      </w:r>
      <w:r>
        <w:rPr>
          <w:lang w:eastAsia="zh-CN"/>
        </w:rPr>
        <w:t xml:space="preserve"> 选手文明参赛要求</w:t>
      </w:r>
      <w:bookmarkEnd w:id="200"/>
      <w:bookmarkEnd w:id="201"/>
      <w:bookmarkEnd w:id="202"/>
    </w:p>
    <w:p w14:paraId="17F25094">
      <w:pPr>
        <w:bidi w:val="0"/>
        <w:rPr>
          <w:rFonts w:hint="default"/>
          <w:lang w:val="en-US" w:eastAsia="zh-CN"/>
        </w:rPr>
      </w:pPr>
      <w:r>
        <w:rPr>
          <w:rFonts w:hint="eastAsia"/>
          <w:lang w:val="en-US" w:eastAsia="zh-CN"/>
        </w:rPr>
        <w:t>1、</w:t>
      </w:r>
      <w:r>
        <w:rPr>
          <w:rFonts w:hint="default"/>
          <w:lang w:val="en-US" w:eastAsia="zh-CN"/>
        </w:rPr>
        <w:t>竞赛现场提供竞赛设备、计算机及相关软件、相关技术资料、工具、仪器等，选手不得自带任何纸质资料和存储工具，如出现严重的违规、违纪、舞弊等现象，经裁判组裁定取消竞赛成绩。</w:t>
      </w:r>
    </w:p>
    <w:p w14:paraId="7D3D388D">
      <w:pPr>
        <w:bidi w:val="0"/>
        <w:rPr>
          <w:rFonts w:hint="default"/>
          <w:lang w:val="en-US" w:eastAsia="zh-CN"/>
        </w:rPr>
      </w:pPr>
      <w:r>
        <w:rPr>
          <w:rFonts w:hint="eastAsia"/>
          <w:lang w:val="en-US" w:eastAsia="zh-CN"/>
        </w:rPr>
        <w:t>2、</w:t>
      </w:r>
      <w:r>
        <w:rPr>
          <w:rFonts w:hint="default"/>
          <w:lang w:val="en-US" w:eastAsia="zh-CN"/>
        </w:rPr>
        <w:t>参赛选手必须及时备份和保存自己的竞赛数据，防止意外断电及其它情况造成程序或资料的丢失。不按要求存储数据，导致数据丢失者，责任自负。</w:t>
      </w:r>
    </w:p>
    <w:p w14:paraId="4E69835E">
      <w:pPr>
        <w:bidi w:val="0"/>
        <w:rPr>
          <w:rFonts w:hint="default"/>
          <w:lang w:val="en-US" w:eastAsia="zh-CN"/>
        </w:rPr>
      </w:pPr>
      <w:r>
        <w:rPr>
          <w:rFonts w:hint="eastAsia"/>
          <w:lang w:val="en-US" w:eastAsia="zh-CN"/>
        </w:rPr>
        <w:t>3、</w:t>
      </w:r>
      <w:r>
        <w:rPr>
          <w:rFonts w:hint="default"/>
          <w:lang w:val="en-US" w:eastAsia="zh-CN"/>
        </w:rPr>
        <w:t>参赛队的竞赛场次和工位号采取抽签的方式确定，竞赛场次签在赛前领队会上抽取，工位签在赛前检录时抽取。</w:t>
      </w:r>
    </w:p>
    <w:p w14:paraId="322CDF53">
      <w:pPr>
        <w:bidi w:val="0"/>
        <w:rPr>
          <w:rFonts w:hint="default"/>
          <w:lang w:val="en-US" w:eastAsia="zh-CN"/>
        </w:rPr>
      </w:pPr>
      <w:r>
        <w:rPr>
          <w:rFonts w:hint="eastAsia"/>
          <w:lang w:val="en-US" w:eastAsia="zh-CN"/>
        </w:rPr>
        <w:t>4、</w:t>
      </w:r>
      <w:r>
        <w:rPr>
          <w:rFonts w:hint="default"/>
          <w:lang w:val="en-US" w:eastAsia="zh-CN"/>
        </w:rPr>
        <w:t>参赛队按照参赛场次进入竞赛场地，利用现场提供的所有条件，在规定时间内完成竞赛任务。</w:t>
      </w:r>
    </w:p>
    <w:p w14:paraId="29C4D64C">
      <w:pPr>
        <w:bidi w:val="0"/>
        <w:rPr>
          <w:rFonts w:hint="default"/>
          <w:lang w:val="en-US" w:eastAsia="zh-CN"/>
        </w:rPr>
      </w:pPr>
      <w:r>
        <w:rPr>
          <w:rFonts w:hint="eastAsia"/>
          <w:lang w:val="en-US" w:eastAsia="zh-CN"/>
        </w:rPr>
        <w:t>5、</w:t>
      </w:r>
      <w:r>
        <w:rPr>
          <w:rFonts w:hint="default"/>
          <w:lang w:val="en-US" w:eastAsia="zh-CN"/>
        </w:rPr>
        <w:t>每个组别同场竞赛使用相同赛题，不同场次使用不同赛题。</w:t>
      </w:r>
    </w:p>
    <w:p w14:paraId="7C0AD932">
      <w:pPr>
        <w:bidi w:val="0"/>
        <w:rPr>
          <w:rFonts w:hint="default"/>
          <w:lang w:val="en-US" w:eastAsia="zh-CN"/>
        </w:rPr>
      </w:pPr>
      <w:r>
        <w:rPr>
          <w:rFonts w:hint="eastAsia"/>
          <w:lang w:val="en-US" w:eastAsia="zh-CN"/>
        </w:rPr>
        <w:t>6、</w:t>
      </w:r>
      <w:r>
        <w:rPr>
          <w:rFonts w:hint="default"/>
          <w:lang w:val="en-US" w:eastAsia="zh-CN"/>
        </w:rPr>
        <w:t>实际操作竞赛，参赛选手在赛前 60 分钟(以竞赛日程为准)，凭参赛证和身份证进入赛场检录。检录工作由检录裁判负责，检录后进行工位抽签。</w:t>
      </w:r>
    </w:p>
    <w:p w14:paraId="2C6A2C0B">
      <w:pPr>
        <w:bidi w:val="0"/>
        <w:rPr>
          <w:rFonts w:hint="default"/>
          <w:lang w:val="en-US" w:eastAsia="zh-CN"/>
        </w:rPr>
      </w:pPr>
      <w:r>
        <w:rPr>
          <w:rFonts w:hint="eastAsia"/>
          <w:lang w:val="en-US" w:eastAsia="zh-CN"/>
        </w:rPr>
        <w:t>7、</w:t>
      </w:r>
      <w:r>
        <w:rPr>
          <w:rFonts w:hint="default"/>
          <w:lang w:val="en-US" w:eastAsia="zh-CN"/>
        </w:rPr>
        <w:t>工位抽签工作由加密裁判负责，选手工位抽签后，选手参赛证更换成参赛工位号，选手在竞赛工位抽签记录表上签字确认后，凭参赛工位号统一进入竞赛工位准备竞赛。竞赛场次和竞赛工位号抽签确定后，选手不准调换。</w:t>
      </w:r>
    </w:p>
    <w:p w14:paraId="683C0C54">
      <w:pPr>
        <w:bidi w:val="0"/>
        <w:rPr>
          <w:rFonts w:hint="default"/>
          <w:lang w:val="en-US" w:eastAsia="zh-CN"/>
        </w:rPr>
      </w:pPr>
      <w:r>
        <w:rPr>
          <w:rFonts w:hint="eastAsia"/>
          <w:lang w:val="en-US" w:eastAsia="zh-CN"/>
        </w:rPr>
        <w:t>8、</w:t>
      </w:r>
      <w:r>
        <w:rPr>
          <w:rFonts w:hint="default"/>
          <w:lang w:val="en-US" w:eastAsia="zh-CN"/>
        </w:rPr>
        <w:t>工位抽签后，由裁判长进行安全教育，确认现场条件，赛前 10 分钟发放赛题，裁判长宣布竞赛开始后才可开始操作。</w:t>
      </w:r>
    </w:p>
    <w:p w14:paraId="168EF89C">
      <w:pPr>
        <w:bidi w:val="0"/>
        <w:rPr>
          <w:rFonts w:hint="default"/>
          <w:lang w:val="en-US" w:eastAsia="zh-CN"/>
        </w:rPr>
      </w:pPr>
      <w:r>
        <w:rPr>
          <w:rFonts w:hint="eastAsia"/>
          <w:lang w:val="en-US" w:eastAsia="zh-CN"/>
        </w:rPr>
        <w:t>9、</w:t>
      </w:r>
      <w:r>
        <w:rPr>
          <w:rFonts w:hint="default"/>
          <w:lang w:val="en-US" w:eastAsia="zh-CN"/>
        </w:rPr>
        <w:t>竞赛过程中，选手若需休息、饮水或去洗手间，一律计算在竞赛时间内。</w:t>
      </w:r>
    </w:p>
    <w:p w14:paraId="68293F7F">
      <w:pPr>
        <w:bidi w:val="0"/>
        <w:rPr>
          <w:rFonts w:hint="default"/>
          <w:lang w:val="en-US" w:eastAsia="zh-CN"/>
        </w:rPr>
      </w:pPr>
      <w:r>
        <w:rPr>
          <w:rFonts w:hint="eastAsia"/>
          <w:lang w:val="en-US" w:eastAsia="zh-CN"/>
        </w:rPr>
        <w:t>10、</w:t>
      </w:r>
      <w:r>
        <w:rPr>
          <w:rFonts w:hint="default"/>
          <w:lang w:val="en-US" w:eastAsia="zh-CN"/>
        </w:rPr>
        <w:t>竞赛过程中，参赛选手须严格遵守相关安全操作规程，禁止不安全操作和野蛮操作,确保人身及设备安全，并接受裁判员的监督和警示，若因选手个人因素造成人身安全事故和设备故障，不予延时，情节特别严重者，由大赛裁判组视具体情况做出处理决定(最高至终止竞赛)，并由裁判长上报大赛监督仲裁组；若因非选手个人因素造成设备故障，由大赛裁判组视具体情况做出延时处理并由裁判长上报大赛监督仲裁组。</w:t>
      </w:r>
    </w:p>
    <w:p w14:paraId="537738AF">
      <w:pPr>
        <w:bidi w:val="0"/>
        <w:rPr>
          <w:rFonts w:hint="default"/>
          <w:lang w:val="en-US" w:eastAsia="zh-CN"/>
        </w:rPr>
      </w:pPr>
      <w:r>
        <w:rPr>
          <w:rFonts w:hint="eastAsia"/>
          <w:lang w:val="en-US" w:eastAsia="zh-CN"/>
        </w:rPr>
        <w:t>11、</w:t>
      </w:r>
      <w:r>
        <w:rPr>
          <w:rFonts w:hint="default"/>
          <w:lang w:val="en-US" w:eastAsia="zh-CN"/>
        </w:rPr>
        <w:t>如果选手提前结束竞赛，应报现场裁判员批准，竞赛终止时间由裁判员记录在案，选手提前结束竞赛后不得再进行任何竞赛相关工作。选手提前结束竞赛后，需原地等待，不得离开赛场，直至本场竞赛结束。</w:t>
      </w:r>
    </w:p>
    <w:p w14:paraId="56FB31EC">
      <w:pPr>
        <w:bidi w:val="0"/>
        <w:rPr>
          <w:rFonts w:hint="default"/>
          <w:lang w:val="en-US" w:eastAsia="zh-CN"/>
        </w:rPr>
      </w:pPr>
      <w:r>
        <w:rPr>
          <w:rFonts w:hint="eastAsia"/>
          <w:lang w:val="en-US" w:eastAsia="zh-CN"/>
        </w:rPr>
        <w:t>12、</w:t>
      </w:r>
      <w:r>
        <w:rPr>
          <w:rFonts w:hint="default"/>
          <w:lang w:val="en-US" w:eastAsia="zh-CN"/>
        </w:rPr>
        <w:t>裁判长在竞赛结束前 15 分钟对选手做出提示。裁判长宣布竞赛结束后，选手应立即停止操作。</w:t>
      </w:r>
    </w:p>
    <w:p w14:paraId="5F633D60">
      <w:pPr>
        <w:bidi w:val="0"/>
        <w:rPr>
          <w:rFonts w:hint="default"/>
          <w:lang w:val="en-US" w:eastAsia="zh-CN"/>
        </w:rPr>
      </w:pPr>
      <w:r>
        <w:rPr>
          <w:rFonts w:hint="eastAsia"/>
          <w:lang w:val="en-US" w:eastAsia="zh-CN"/>
        </w:rPr>
        <w:t>13、</w:t>
      </w:r>
      <w:r>
        <w:rPr>
          <w:rFonts w:hint="default"/>
          <w:lang w:val="en-US" w:eastAsia="zh-CN"/>
        </w:rPr>
        <w:t>竞赛结束后，由现场裁判员和选手检查确认提交的内容，选手、现场裁判员签字确认。</w:t>
      </w:r>
    </w:p>
    <w:p w14:paraId="4324BF40">
      <w:pPr>
        <w:bidi w:val="0"/>
        <w:rPr>
          <w:rFonts w:hint="default"/>
          <w:lang w:val="en-US" w:eastAsia="zh-CN"/>
        </w:rPr>
      </w:pPr>
      <w:r>
        <w:rPr>
          <w:rFonts w:hint="eastAsia"/>
          <w:lang w:val="en-US" w:eastAsia="zh-CN"/>
        </w:rPr>
        <w:t>14、</w:t>
      </w:r>
      <w:r>
        <w:rPr>
          <w:rFonts w:hint="default"/>
          <w:lang w:val="en-US" w:eastAsia="zh-CN"/>
        </w:rPr>
        <w:t>竞赛结束，选手应立即清理现场，包括设备及周边卫生并恢复设备原始状态等。经现场裁判员和现场工作人员确认后方可离开工位。经裁判长统一确认后，选手统一离开赛场。清理现场工作是对选手职业素养评判的内容之一。</w:t>
      </w:r>
    </w:p>
    <w:p w14:paraId="2D8E0CBC">
      <w:pPr>
        <w:bidi w:val="0"/>
        <w:rPr>
          <w:rFonts w:hint="default"/>
          <w:lang w:val="en-US" w:eastAsia="zh-CN"/>
        </w:rPr>
      </w:pPr>
      <w:r>
        <w:rPr>
          <w:rFonts w:hint="eastAsia"/>
          <w:lang w:val="en-US" w:eastAsia="zh-CN"/>
        </w:rPr>
        <w:t>15、</w:t>
      </w:r>
      <w:r>
        <w:rPr>
          <w:rFonts w:hint="default"/>
          <w:lang w:val="en-US" w:eastAsia="zh-CN"/>
        </w:rPr>
        <w:t>为保证大赛的公平、公正，加密裁判将对选手上交的文档进行加密，然后交给评分裁判进行评分。</w:t>
      </w:r>
    </w:p>
    <w:p w14:paraId="16804BF3">
      <w:pPr>
        <w:bidi w:val="0"/>
        <w:rPr>
          <w:rFonts w:hint="default"/>
          <w:lang w:val="en-US" w:eastAsia="zh-CN"/>
        </w:rPr>
      </w:pPr>
      <w:r>
        <w:rPr>
          <w:rFonts w:hint="eastAsia"/>
          <w:lang w:val="en-US" w:eastAsia="zh-CN"/>
        </w:rPr>
        <w:t>16、参赛选手竞赛期间应着装整齐；女选手长发应束起，不得外露</w:t>
      </w:r>
      <w:r>
        <w:rPr>
          <w:rFonts w:hint="default"/>
          <w:lang w:val="en-US" w:eastAsia="zh-CN"/>
        </w:rPr>
        <w:t>。</w:t>
      </w:r>
    </w:p>
    <w:p w14:paraId="62DBE1E0">
      <w:pPr>
        <w:bidi w:val="0"/>
        <w:rPr>
          <w:rFonts w:hint="default"/>
          <w:lang w:val="en-US" w:eastAsia="zh-CN"/>
        </w:rPr>
      </w:pPr>
      <w:r>
        <w:rPr>
          <w:rFonts w:hint="eastAsia"/>
          <w:lang w:val="en-US" w:eastAsia="zh-CN"/>
        </w:rPr>
        <w:t>17、</w:t>
      </w:r>
      <w:r>
        <w:rPr>
          <w:rFonts w:hint="default"/>
          <w:lang w:val="en-US" w:eastAsia="zh-CN"/>
        </w:rPr>
        <w:t>参赛选手在竞赛过程中，要求操作安全规范，工具、刀具、量具等摆放整齐。竞赛过程中裁判组将安排裁判员对选手进行职业素养的现场评分。</w:t>
      </w:r>
    </w:p>
    <w:p w14:paraId="3516868B">
      <w:pPr>
        <w:bidi w:val="0"/>
        <w:rPr>
          <w:rFonts w:hint="default"/>
          <w:lang w:val="en-US" w:eastAsia="zh-CN"/>
        </w:rPr>
      </w:pPr>
      <w:r>
        <w:rPr>
          <w:rFonts w:hint="eastAsia"/>
          <w:lang w:val="en-US" w:eastAsia="zh-CN"/>
        </w:rPr>
        <w:t>18、</w:t>
      </w:r>
      <w:r>
        <w:rPr>
          <w:rFonts w:hint="default"/>
          <w:lang w:val="en-US" w:eastAsia="zh-CN"/>
        </w:rPr>
        <w:t>选手离开竞赛场地时，不得将草稿纸等与竞赛相关的物品带离竞赛现场，同时也不得将赛场提供的其他物品带离赛场。</w:t>
      </w:r>
    </w:p>
    <w:p w14:paraId="4126D2A4">
      <w:pPr>
        <w:bidi w:val="0"/>
        <w:rPr>
          <w:rFonts w:hint="default"/>
          <w:lang w:val="en-US" w:eastAsia="zh-CN"/>
        </w:rPr>
      </w:pPr>
      <w:r>
        <w:rPr>
          <w:rFonts w:hint="eastAsia"/>
          <w:lang w:val="en-US" w:eastAsia="zh-CN"/>
        </w:rPr>
        <w:t>19、</w:t>
      </w:r>
      <w:r>
        <w:rPr>
          <w:rFonts w:hint="default"/>
          <w:lang w:val="en-US" w:eastAsia="zh-CN"/>
        </w:rPr>
        <w:t>各类赛务人员必须统一佩戴由大赛组委会签发的相关证件，着装整齐。</w:t>
      </w:r>
    </w:p>
    <w:p w14:paraId="2875ACE8">
      <w:pPr>
        <w:bidi w:val="0"/>
        <w:rPr>
          <w:rFonts w:hint="default"/>
          <w:lang w:val="en-US" w:eastAsia="zh-CN"/>
        </w:rPr>
      </w:pPr>
      <w:r>
        <w:rPr>
          <w:rFonts w:hint="eastAsia"/>
          <w:lang w:val="en-US" w:eastAsia="zh-CN"/>
        </w:rPr>
        <w:t>20、</w:t>
      </w:r>
      <w:r>
        <w:rPr>
          <w:rFonts w:hint="default"/>
          <w:lang w:val="en-US" w:eastAsia="zh-CN"/>
        </w:rPr>
        <w:t>除现场裁判员和参赛选手外，其他人员不得进入比赛区域。赛场安全员、设备和软件技术支持人员、工作人员必须在指定区域等待，未经裁判长允许不得进入比赛区域。</w:t>
      </w:r>
    </w:p>
    <w:p w14:paraId="07680D7C">
      <w:pPr>
        <w:pStyle w:val="3"/>
        <w:bidi w:val="0"/>
        <w:rPr>
          <w:lang w:eastAsia="zh-CN"/>
        </w:rPr>
      </w:pPr>
      <w:bookmarkStart w:id="207" w:name="_Toc21773"/>
      <w:bookmarkStart w:id="208" w:name="_Toc9064"/>
      <w:bookmarkStart w:id="209" w:name="_Toc20959"/>
      <w:r>
        <w:rPr>
          <w:rFonts w:hint="eastAsia"/>
          <w:lang w:val="en-US" w:eastAsia="zh-CN"/>
        </w:rPr>
        <w:t xml:space="preserve">6.3 </w:t>
      </w:r>
      <w:r>
        <w:rPr>
          <w:lang w:eastAsia="zh-CN"/>
        </w:rPr>
        <w:t>赛场纪律</w:t>
      </w:r>
      <w:bookmarkEnd w:id="203"/>
      <w:bookmarkEnd w:id="204"/>
      <w:bookmarkEnd w:id="205"/>
      <w:bookmarkEnd w:id="206"/>
      <w:bookmarkEnd w:id="207"/>
      <w:bookmarkEnd w:id="208"/>
      <w:bookmarkEnd w:id="209"/>
    </w:p>
    <w:p w14:paraId="3BE83C3D">
      <w:pPr>
        <w:bidi w:val="0"/>
        <w:rPr>
          <w:rFonts w:hint="default"/>
          <w:lang w:val="en-US" w:eastAsia="zh-CN"/>
        </w:rPr>
      </w:pPr>
      <w:r>
        <w:rPr>
          <w:rFonts w:hint="eastAsia"/>
          <w:lang w:val="en-US" w:eastAsia="zh-CN"/>
        </w:rPr>
        <w:t>1、</w:t>
      </w:r>
      <w:r>
        <w:rPr>
          <w:rFonts w:hint="default"/>
          <w:lang w:val="en-US" w:eastAsia="zh-CN"/>
        </w:rPr>
        <w:t>选手在竞赛期间不得携带、使用手机、照相机、录像机等通信设备，不得携带非大赛提供的电子存储设备、资料。</w:t>
      </w:r>
    </w:p>
    <w:p w14:paraId="662A98B6">
      <w:pPr>
        <w:bidi w:val="0"/>
        <w:rPr>
          <w:rFonts w:hint="default"/>
          <w:lang w:val="en-US" w:eastAsia="zh-CN"/>
        </w:rPr>
      </w:pPr>
      <w:r>
        <w:rPr>
          <w:rFonts w:hint="eastAsia"/>
          <w:lang w:val="en-US" w:eastAsia="zh-CN"/>
        </w:rPr>
        <w:t>2、</w:t>
      </w:r>
      <w:r>
        <w:rPr>
          <w:rFonts w:hint="default"/>
          <w:lang w:val="en-US" w:eastAsia="zh-CN"/>
        </w:rPr>
        <w:t>比赛期间，选手有问题应及时向裁判员反映；选手正常比赛时，裁判员不得主动接近或干涉选手；若选手需要技术支持，裁判员应及时通知相关人员前来解决；若需做出判决，则应报告裁判长，由裁判长决定。</w:t>
      </w:r>
    </w:p>
    <w:p w14:paraId="6487723F">
      <w:pPr>
        <w:bidi w:val="0"/>
        <w:rPr>
          <w:rFonts w:hint="default"/>
          <w:lang w:val="en-US" w:eastAsia="zh-CN"/>
        </w:rPr>
      </w:pPr>
      <w:r>
        <w:rPr>
          <w:rFonts w:hint="eastAsia"/>
          <w:lang w:val="en-US" w:eastAsia="zh-CN"/>
        </w:rPr>
        <w:t>3、</w:t>
      </w:r>
      <w:r>
        <w:rPr>
          <w:rFonts w:hint="default"/>
          <w:lang w:val="en-US" w:eastAsia="zh-CN"/>
        </w:rPr>
        <w:t>竞赛结束铃声响起以后，选手应立即停止操作。选手应及时把赛题、图纸、电子存储设备、草稿纸等所有相关文件提交给现场裁判，并确认。由加密裁判做好加密和保存工作；最终统一提交给裁判长。</w:t>
      </w:r>
    </w:p>
    <w:p w14:paraId="39006584">
      <w:pPr>
        <w:bidi w:val="0"/>
        <w:rPr>
          <w:rFonts w:hint="default"/>
          <w:lang w:val="en-US" w:eastAsia="zh-CN"/>
        </w:rPr>
      </w:pPr>
      <w:r>
        <w:rPr>
          <w:rFonts w:hint="eastAsia"/>
          <w:lang w:val="en-US" w:eastAsia="zh-CN"/>
        </w:rPr>
        <w:t>4、</w:t>
      </w:r>
      <w:r>
        <w:rPr>
          <w:rFonts w:hint="default"/>
          <w:lang w:val="en-US" w:eastAsia="zh-CN"/>
        </w:rPr>
        <w:t>未经裁判长允许，不得延长竞赛时间。</w:t>
      </w:r>
    </w:p>
    <w:p w14:paraId="02124372">
      <w:pPr>
        <w:bidi w:val="0"/>
        <w:rPr>
          <w:rFonts w:hint="default"/>
          <w:lang w:val="en-US" w:eastAsia="zh-CN"/>
        </w:rPr>
      </w:pPr>
      <w:r>
        <w:rPr>
          <w:rFonts w:hint="eastAsia"/>
          <w:lang w:val="en-US" w:eastAsia="zh-CN"/>
        </w:rPr>
        <w:t>5、</w:t>
      </w:r>
      <w:r>
        <w:rPr>
          <w:rFonts w:hint="default"/>
          <w:lang w:val="en-US" w:eastAsia="zh-CN"/>
        </w:rPr>
        <w:t>未经裁判长允许，竞赛结束后，选手不能离开赛场。</w:t>
      </w:r>
    </w:p>
    <w:p w14:paraId="48A0E298">
      <w:pPr>
        <w:bidi w:val="0"/>
        <w:rPr>
          <w:rFonts w:hint="default"/>
          <w:lang w:val="en-US" w:eastAsia="zh-CN"/>
        </w:rPr>
      </w:pPr>
      <w:r>
        <w:rPr>
          <w:rFonts w:hint="eastAsia"/>
          <w:lang w:val="en-US" w:eastAsia="zh-CN"/>
        </w:rPr>
        <w:t>6、</w:t>
      </w:r>
      <w:r>
        <w:rPr>
          <w:rFonts w:hint="default"/>
          <w:lang w:val="en-US" w:eastAsia="zh-CN"/>
        </w:rPr>
        <w:t>参赛选手不得有损坏竞赛设备和影响下一场竞赛的行为。</w:t>
      </w:r>
    </w:p>
    <w:p w14:paraId="5900ED86">
      <w:pPr>
        <w:bidi w:val="0"/>
        <w:rPr>
          <w:rFonts w:hint="default"/>
          <w:lang w:eastAsia="zh-CN"/>
        </w:rPr>
      </w:pPr>
      <w:r>
        <w:rPr>
          <w:rFonts w:hint="eastAsia"/>
          <w:lang w:val="en-US" w:eastAsia="zh-CN"/>
        </w:rPr>
        <w:t>7、</w:t>
      </w:r>
      <w:r>
        <w:rPr>
          <w:rFonts w:hint="default"/>
          <w:lang w:val="en-US" w:eastAsia="zh-CN"/>
        </w:rPr>
        <w:t>参赛选手如果违反前述相关规定和组委会印发的竞赛技术规则，视违规程度，受到“总分扣除 10~20 分、不得进入前 20名、取消竞赛资格”等不同处罚。</w:t>
      </w:r>
    </w:p>
    <w:p w14:paraId="6E2F624A">
      <w:pPr>
        <w:pStyle w:val="2"/>
        <w:bidi w:val="0"/>
        <w:rPr>
          <w:lang w:eastAsia="zh-CN"/>
        </w:rPr>
      </w:pPr>
      <w:r>
        <w:rPr>
          <w:rFonts w:hint="eastAsia"/>
          <w:lang w:val="en-US" w:eastAsia="zh-CN"/>
        </w:rPr>
        <w:t>七、申诉与仲裁</w:t>
      </w:r>
      <w:bookmarkEnd w:id="84"/>
      <w:bookmarkEnd w:id="85"/>
      <w:bookmarkEnd w:id="86"/>
      <w:bookmarkEnd w:id="87"/>
      <w:bookmarkEnd w:id="88"/>
    </w:p>
    <w:p w14:paraId="48B9BAB6">
      <w:pPr>
        <w:bidi w:val="0"/>
        <w:rPr>
          <w:rFonts w:hint="eastAsia"/>
          <w:lang w:val="en-US" w:eastAsia="zh-CN"/>
        </w:rPr>
      </w:pPr>
      <w:r>
        <w:rPr>
          <w:rFonts w:hint="eastAsia"/>
          <w:lang w:val="en-US" w:eastAsia="zh-CN"/>
        </w:rPr>
        <w:t>（一）参赛选手对不符合竞赛规定的设备、工具、软件，有失公正的评判，以及对工作人员等有违公平的行为，可现场提出申诉。申诉应在竞赛结束后2小时内提出，超过时效将不予受理。申诉时，应按照规定的程序由参赛选手领队向赛项裁判长递交书面申诉报告，报告应对申诉事件的现象、发生的时间、涉及的人员、申诉依据与理由等进行充分、实事求是的叙述，申诉报告须有申诉的参赛选手、领队签名。</w:t>
      </w:r>
    </w:p>
    <w:p w14:paraId="5946A0A4">
      <w:pPr>
        <w:bidi w:val="0"/>
        <w:rPr>
          <w:rFonts w:hint="eastAsia"/>
          <w:lang w:val="en-US" w:eastAsia="zh-CN"/>
        </w:rPr>
      </w:pPr>
      <w:r>
        <w:rPr>
          <w:rFonts w:hint="eastAsia"/>
          <w:lang w:val="en-US" w:eastAsia="zh-CN"/>
        </w:rPr>
        <w:t>（二）赛项裁判长收到申诉报告后，应根据申诉事由组织裁判团队进行审查，并于2小时内书面通知申诉方处理结果。申诉人对处理结果仍有异议的，可向大赛仲裁组提出书面复议申请；大赛仲裁组负责受理申诉复议并进行仲裁，仲裁组的裁决为最终裁决，参赛选手不得因申诉或对仲裁处理意见不服而停止比赛或滋事，否则按弃权处理。</w:t>
      </w:r>
      <w:bookmarkEnd w:id="54"/>
    </w:p>
    <w:sectPr>
      <w:footerReference r:id="rId7" w:type="default"/>
      <w:pgSz w:w="11906" w:h="16838"/>
      <w:pgMar w:top="1418" w:right="1134" w:bottom="1418" w:left="1361"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546F15-CA7C-46B2-AF50-D9E025F51C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9D1996D3-667C-48BC-B931-C1CFDD95EC58}"/>
  </w:font>
  <w:font w:name="仿宋">
    <w:panose1 w:val="02010609060101010101"/>
    <w:charset w:val="86"/>
    <w:family w:val="modern"/>
    <w:pitch w:val="default"/>
    <w:sig w:usb0="800002BF" w:usb1="38CF7CFA" w:usb2="00000016" w:usb3="00000000" w:csb0="00040001" w:csb1="00000000"/>
    <w:embedRegular r:id="rId3" w:fontKey="{074175EF-29D0-4F63-893F-56F753C09083}"/>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4EE1F">
    <w:pPr>
      <w:pStyle w:val="11"/>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5B30">
    <w:pPr>
      <w:pStyle w:val="11"/>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75943484"/>
                          </w:sdtPr>
                          <w:sdtContent>
                            <w:p w14:paraId="43501BCA">
                              <w:pPr>
                                <w:pStyle w:val="11"/>
                                <w:ind w:firstLine="36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16</w:t>
                              </w:r>
                              <w:r>
                                <w:rPr>
                                  <w:rFonts w:hint="eastAsia" w:ascii="宋体" w:hAnsi="宋体" w:eastAsia="宋体" w:cs="宋体"/>
                                  <w:sz w:val="28"/>
                                  <w:szCs w:val="28"/>
                                </w:rPr>
                                <w:fldChar w:fldCharType="end"/>
                              </w:r>
                            </w:p>
                          </w:sdtContent>
                        </w:sdt>
                        <w:p w14:paraId="263CC7A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575943484"/>
                    </w:sdtPr>
                    <w:sdtContent>
                      <w:p w14:paraId="43501BCA">
                        <w:pPr>
                          <w:pStyle w:val="11"/>
                          <w:ind w:firstLine="36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16</w:t>
                        </w:r>
                        <w:r>
                          <w:rPr>
                            <w:rFonts w:hint="eastAsia" w:ascii="宋体" w:hAnsi="宋体" w:eastAsia="宋体" w:cs="宋体"/>
                            <w:sz w:val="28"/>
                            <w:szCs w:val="28"/>
                          </w:rPr>
                          <w:fldChar w:fldCharType="end"/>
                        </w:r>
                      </w:p>
                    </w:sdtContent>
                  </w:sdt>
                  <w:p w14:paraId="263CC7A1"/>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9E5DF">
    <w:pPr>
      <w:pStyle w:val="12"/>
      <w:pBdr>
        <w:bottom w:val="none" w:color="auto" w:sz="0" w:space="0"/>
      </w:pBdr>
      <w:ind w:firstLine="360"/>
      <w:rPr>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mOWQ1YzY4OWYwMmY4M2JlZTA1ODZhMjQyMjlkZTYifQ=="/>
  </w:docVars>
  <w:rsids>
    <w:rsidRoot w:val="002E7B7D"/>
    <w:rsid w:val="00005279"/>
    <w:rsid w:val="00010DA8"/>
    <w:rsid w:val="00010FF4"/>
    <w:rsid w:val="000134AE"/>
    <w:rsid w:val="00014994"/>
    <w:rsid w:val="00033973"/>
    <w:rsid w:val="00035ED0"/>
    <w:rsid w:val="00037EC9"/>
    <w:rsid w:val="0004359B"/>
    <w:rsid w:val="000442C2"/>
    <w:rsid w:val="00046205"/>
    <w:rsid w:val="0006463C"/>
    <w:rsid w:val="0007076A"/>
    <w:rsid w:val="00070B46"/>
    <w:rsid w:val="00073A0B"/>
    <w:rsid w:val="000761EB"/>
    <w:rsid w:val="00083B55"/>
    <w:rsid w:val="00087553"/>
    <w:rsid w:val="000A3652"/>
    <w:rsid w:val="000C074D"/>
    <w:rsid w:val="000D071A"/>
    <w:rsid w:val="000D25AF"/>
    <w:rsid w:val="000D4ECF"/>
    <w:rsid w:val="000E03E3"/>
    <w:rsid w:val="000E2252"/>
    <w:rsid w:val="000E7E0A"/>
    <w:rsid w:val="000F2F94"/>
    <w:rsid w:val="000F3137"/>
    <w:rsid w:val="000F5088"/>
    <w:rsid w:val="000F6A44"/>
    <w:rsid w:val="0010105C"/>
    <w:rsid w:val="00106620"/>
    <w:rsid w:val="00114BA9"/>
    <w:rsid w:val="00116D43"/>
    <w:rsid w:val="001173E7"/>
    <w:rsid w:val="00121759"/>
    <w:rsid w:val="00130748"/>
    <w:rsid w:val="001330F1"/>
    <w:rsid w:val="00142A4E"/>
    <w:rsid w:val="00144230"/>
    <w:rsid w:val="00154DEC"/>
    <w:rsid w:val="0017265E"/>
    <w:rsid w:val="00174CD2"/>
    <w:rsid w:val="00181B4B"/>
    <w:rsid w:val="0018228E"/>
    <w:rsid w:val="001852B9"/>
    <w:rsid w:val="00185346"/>
    <w:rsid w:val="001873AD"/>
    <w:rsid w:val="0019320F"/>
    <w:rsid w:val="001A1758"/>
    <w:rsid w:val="001A5A18"/>
    <w:rsid w:val="001A7C9D"/>
    <w:rsid w:val="001B1EEF"/>
    <w:rsid w:val="001B6ABC"/>
    <w:rsid w:val="001B79F7"/>
    <w:rsid w:val="001B7FB6"/>
    <w:rsid w:val="001C31DF"/>
    <w:rsid w:val="001C67FB"/>
    <w:rsid w:val="001D4273"/>
    <w:rsid w:val="001F0067"/>
    <w:rsid w:val="001F33A3"/>
    <w:rsid w:val="002003A4"/>
    <w:rsid w:val="002015A4"/>
    <w:rsid w:val="002023A9"/>
    <w:rsid w:val="00204923"/>
    <w:rsid w:val="00212E92"/>
    <w:rsid w:val="00224419"/>
    <w:rsid w:val="0023000D"/>
    <w:rsid w:val="00235ABF"/>
    <w:rsid w:val="002369B7"/>
    <w:rsid w:val="00241699"/>
    <w:rsid w:val="00242112"/>
    <w:rsid w:val="00245A3C"/>
    <w:rsid w:val="00265CB0"/>
    <w:rsid w:val="00271F41"/>
    <w:rsid w:val="00274509"/>
    <w:rsid w:val="002774A1"/>
    <w:rsid w:val="00283E4D"/>
    <w:rsid w:val="00287259"/>
    <w:rsid w:val="002910F1"/>
    <w:rsid w:val="002A3872"/>
    <w:rsid w:val="002A443E"/>
    <w:rsid w:val="002A5B59"/>
    <w:rsid w:val="002A79C5"/>
    <w:rsid w:val="002B0219"/>
    <w:rsid w:val="002B14C5"/>
    <w:rsid w:val="002C047C"/>
    <w:rsid w:val="002C0A98"/>
    <w:rsid w:val="002D22BF"/>
    <w:rsid w:val="002D5E29"/>
    <w:rsid w:val="002E09D6"/>
    <w:rsid w:val="002E3FA0"/>
    <w:rsid w:val="002E43E8"/>
    <w:rsid w:val="002E7B7D"/>
    <w:rsid w:val="002F226F"/>
    <w:rsid w:val="002F3AF4"/>
    <w:rsid w:val="003073DC"/>
    <w:rsid w:val="0033565A"/>
    <w:rsid w:val="00335F7C"/>
    <w:rsid w:val="00340F0C"/>
    <w:rsid w:val="00347BBA"/>
    <w:rsid w:val="0035295A"/>
    <w:rsid w:val="00352DDD"/>
    <w:rsid w:val="0036601E"/>
    <w:rsid w:val="00366573"/>
    <w:rsid w:val="00372CBC"/>
    <w:rsid w:val="00377E14"/>
    <w:rsid w:val="00383FB8"/>
    <w:rsid w:val="00385A70"/>
    <w:rsid w:val="0039601D"/>
    <w:rsid w:val="00397313"/>
    <w:rsid w:val="003A6635"/>
    <w:rsid w:val="003C2A1D"/>
    <w:rsid w:val="003C5063"/>
    <w:rsid w:val="003F11DA"/>
    <w:rsid w:val="003F68E3"/>
    <w:rsid w:val="004010DE"/>
    <w:rsid w:val="00403696"/>
    <w:rsid w:val="0040377F"/>
    <w:rsid w:val="004074FE"/>
    <w:rsid w:val="004107BF"/>
    <w:rsid w:val="00412BE9"/>
    <w:rsid w:val="00422818"/>
    <w:rsid w:val="004274A4"/>
    <w:rsid w:val="00431FB2"/>
    <w:rsid w:val="00435547"/>
    <w:rsid w:val="004412BB"/>
    <w:rsid w:val="00442AAA"/>
    <w:rsid w:val="00445825"/>
    <w:rsid w:val="00446611"/>
    <w:rsid w:val="00453A6E"/>
    <w:rsid w:val="00462A67"/>
    <w:rsid w:val="004632B4"/>
    <w:rsid w:val="004643BA"/>
    <w:rsid w:val="004702E4"/>
    <w:rsid w:val="004745B4"/>
    <w:rsid w:val="00476A66"/>
    <w:rsid w:val="00482C15"/>
    <w:rsid w:val="004B628F"/>
    <w:rsid w:val="004C1005"/>
    <w:rsid w:val="004D6039"/>
    <w:rsid w:val="004E0C30"/>
    <w:rsid w:val="004E224F"/>
    <w:rsid w:val="004E245E"/>
    <w:rsid w:val="004F10CF"/>
    <w:rsid w:val="004F781B"/>
    <w:rsid w:val="00504DCB"/>
    <w:rsid w:val="005205CE"/>
    <w:rsid w:val="0052516D"/>
    <w:rsid w:val="0052785E"/>
    <w:rsid w:val="00527EF7"/>
    <w:rsid w:val="00541ECF"/>
    <w:rsid w:val="00543623"/>
    <w:rsid w:val="00544D6C"/>
    <w:rsid w:val="00545918"/>
    <w:rsid w:val="00550DEC"/>
    <w:rsid w:val="005511DC"/>
    <w:rsid w:val="005527D2"/>
    <w:rsid w:val="00556C01"/>
    <w:rsid w:val="0055744A"/>
    <w:rsid w:val="005607F8"/>
    <w:rsid w:val="00580B94"/>
    <w:rsid w:val="0058246B"/>
    <w:rsid w:val="00595A7E"/>
    <w:rsid w:val="00595D5A"/>
    <w:rsid w:val="005A073A"/>
    <w:rsid w:val="005A6E34"/>
    <w:rsid w:val="005B2752"/>
    <w:rsid w:val="005B5474"/>
    <w:rsid w:val="005C0959"/>
    <w:rsid w:val="005C2B0E"/>
    <w:rsid w:val="005C50A9"/>
    <w:rsid w:val="005C5ADE"/>
    <w:rsid w:val="005D6047"/>
    <w:rsid w:val="005F0692"/>
    <w:rsid w:val="005F19B6"/>
    <w:rsid w:val="005F4374"/>
    <w:rsid w:val="005F47E4"/>
    <w:rsid w:val="005F4C23"/>
    <w:rsid w:val="0060524A"/>
    <w:rsid w:val="00605E8D"/>
    <w:rsid w:val="00613888"/>
    <w:rsid w:val="0061402D"/>
    <w:rsid w:val="006300F6"/>
    <w:rsid w:val="0064002E"/>
    <w:rsid w:val="00652CBE"/>
    <w:rsid w:val="00664661"/>
    <w:rsid w:val="00671E81"/>
    <w:rsid w:val="00674069"/>
    <w:rsid w:val="00675272"/>
    <w:rsid w:val="00676193"/>
    <w:rsid w:val="0068111C"/>
    <w:rsid w:val="0069387D"/>
    <w:rsid w:val="006A10E1"/>
    <w:rsid w:val="006A3D64"/>
    <w:rsid w:val="006A5E5F"/>
    <w:rsid w:val="006B2FA9"/>
    <w:rsid w:val="006B62F2"/>
    <w:rsid w:val="006B68CE"/>
    <w:rsid w:val="006C0349"/>
    <w:rsid w:val="006C0501"/>
    <w:rsid w:val="006C153B"/>
    <w:rsid w:val="006C77D3"/>
    <w:rsid w:val="006D0BB4"/>
    <w:rsid w:val="006D1F86"/>
    <w:rsid w:val="006D6825"/>
    <w:rsid w:val="006E3ED6"/>
    <w:rsid w:val="006E6DCF"/>
    <w:rsid w:val="006F7409"/>
    <w:rsid w:val="00702351"/>
    <w:rsid w:val="0070698F"/>
    <w:rsid w:val="00707B28"/>
    <w:rsid w:val="007128F4"/>
    <w:rsid w:val="00716768"/>
    <w:rsid w:val="0072195E"/>
    <w:rsid w:val="00724CAF"/>
    <w:rsid w:val="00724E1E"/>
    <w:rsid w:val="007279C1"/>
    <w:rsid w:val="0073002F"/>
    <w:rsid w:val="00731ED4"/>
    <w:rsid w:val="00732568"/>
    <w:rsid w:val="00732C4E"/>
    <w:rsid w:val="0073386F"/>
    <w:rsid w:val="00737DD7"/>
    <w:rsid w:val="007408A4"/>
    <w:rsid w:val="00744D9F"/>
    <w:rsid w:val="007465E0"/>
    <w:rsid w:val="00750ADF"/>
    <w:rsid w:val="00750F7A"/>
    <w:rsid w:val="00752C07"/>
    <w:rsid w:val="007670B6"/>
    <w:rsid w:val="007675FA"/>
    <w:rsid w:val="007713A5"/>
    <w:rsid w:val="00773DFE"/>
    <w:rsid w:val="00784C7B"/>
    <w:rsid w:val="0079025A"/>
    <w:rsid w:val="0079740D"/>
    <w:rsid w:val="007A6043"/>
    <w:rsid w:val="007B1FDB"/>
    <w:rsid w:val="007B2ED3"/>
    <w:rsid w:val="007B3B55"/>
    <w:rsid w:val="007C5A59"/>
    <w:rsid w:val="007C7B78"/>
    <w:rsid w:val="007E1EE8"/>
    <w:rsid w:val="007E223D"/>
    <w:rsid w:val="007E55DF"/>
    <w:rsid w:val="007E64AB"/>
    <w:rsid w:val="00802558"/>
    <w:rsid w:val="00826565"/>
    <w:rsid w:val="00827A4E"/>
    <w:rsid w:val="0083369A"/>
    <w:rsid w:val="00833D58"/>
    <w:rsid w:val="008353B1"/>
    <w:rsid w:val="00836035"/>
    <w:rsid w:val="008609D0"/>
    <w:rsid w:val="00863AA7"/>
    <w:rsid w:val="00874987"/>
    <w:rsid w:val="0087688E"/>
    <w:rsid w:val="0088324B"/>
    <w:rsid w:val="0088756F"/>
    <w:rsid w:val="00892055"/>
    <w:rsid w:val="00892593"/>
    <w:rsid w:val="00893CFB"/>
    <w:rsid w:val="00894DE3"/>
    <w:rsid w:val="008A14C3"/>
    <w:rsid w:val="008A5722"/>
    <w:rsid w:val="008A68E6"/>
    <w:rsid w:val="008A7805"/>
    <w:rsid w:val="008B1073"/>
    <w:rsid w:val="008B2170"/>
    <w:rsid w:val="008B235F"/>
    <w:rsid w:val="008C283E"/>
    <w:rsid w:val="008C7F90"/>
    <w:rsid w:val="008D1D5E"/>
    <w:rsid w:val="008D4646"/>
    <w:rsid w:val="008D5428"/>
    <w:rsid w:val="008E5005"/>
    <w:rsid w:val="008F0357"/>
    <w:rsid w:val="008F6485"/>
    <w:rsid w:val="008F67FB"/>
    <w:rsid w:val="008F77AE"/>
    <w:rsid w:val="008F7B9B"/>
    <w:rsid w:val="0090023A"/>
    <w:rsid w:val="00910135"/>
    <w:rsid w:val="00927ADF"/>
    <w:rsid w:val="00930A85"/>
    <w:rsid w:val="00932945"/>
    <w:rsid w:val="00933B23"/>
    <w:rsid w:val="00933F5F"/>
    <w:rsid w:val="0093412F"/>
    <w:rsid w:val="00943D62"/>
    <w:rsid w:val="009451DF"/>
    <w:rsid w:val="00945870"/>
    <w:rsid w:val="00966244"/>
    <w:rsid w:val="009679E6"/>
    <w:rsid w:val="009734B2"/>
    <w:rsid w:val="00975DCA"/>
    <w:rsid w:val="00975F35"/>
    <w:rsid w:val="00987A04"/>
    <w:rsid w:val="009933CE"/>
    <w:rsid w:val="00994086"/>
    <w:rsid w:val="00995497"/>
    <w:rsid w:val="0099639E"/>
    <w:rsid w:val="009A7E0C"/>
    <w:rsid w:val="009B1631"/>
    <w:rsid w:val="009B2871"/>
    <w:rsid w:val="009C3E3C"/>
    <w:rsid w:val="009D5C9E"/>
    <w:rsid w:val="009E0245"/>
    <w:rsid w:val="009E22C8"/>
    <w:rsid w:val="009E4693"/>
    <w:rsid w:val="009E5089"/>
    <w:rsid w:val="009E6F38"/>
    <w:rsid w:val="00A05957"/>
    <w:rsid w:val="00A06580"/>
    <w:rsid w:val="00A070C9"/>
    <w:rsid w:val="00A07630"/>
    <w:rsid w:val="00A10F9F"/>
    <w:rsid w:val="00A24CDE"/>
    <w:rsid w:val="00A26201"/>
    <w:rsid w:val="00A315EA"/>
    <w:rsid w:val="00A32F99"/>
    <w:rsid w:val="00A3502F"/>
    <w:rsid w:val="00A42C7F"/>
    <w:rsid w:val="00A4309B"/>
    <w:rsid w:val="00A45F6D"/>
    <w:rsid w:val="00A4611C"/>
    <w:rsid w:val="00A52947"/>
    <w:rsid w:val="00A5619C"/>
    <w:rsid w:val="00A63AA5"/>
    <w:rsid w:val="00A704D0"/>
    <w:rsid w:val="00A70EAE"/>
    <w:rsid w:val="00A93629"/>
    <w:rsid w:val="00A9445A"/>
    <w:rsid w:val="00A946AA"/>
    <w:rsid w:val="00A9667D"/>
    <w:rsid w:val="00A96802"/>
    <w:rsid w:val="00AA19E1"/>
    <w:rsid w:val="00AA2047"/>
    <w:rsid w:val="00AA30EF"/>
    <w:rsid w:val="00AA33FF"/>
    <w:rsid w:val="00AA7EC2"/>
    <w:rsid w:val="00AB00C8"/>
    <w:rsid w:val="00AB052C"/>
    <w:rsid w:val="00AB1B44"/>
    <w:rsid w:val="00AB30DD"/>
    <w:rsid w:val="00AC0E95"/>
    <w:rsid w:val="00AC582E"/>
    <w:rsid w:val="00AC7172"/>
    <w:rsid w:val="00AF102F"/>
    <w:rsid w:val="00AF1B0C"/>
    <w:rsid w:val="00AF24AB"/>
    <w:rsid w:val="00AF3937"/>
    <w:rsid w:val="00AF4EE1"/>
    <w:rsid w:val="00AF6A8E"/>
    <w:rsid w:val="00AF70E1"/>
    <w:rsid w:val="00B172D1"/>
    <w:rsid w:val="00B17FE3"/>
    <w:rsid w:val="00B21D3B"/>
    <w:rsid w:val="00B22576"/>
    <w:rsid w:val="00B24AC3"/>
    <w:rsid w:val="00B34184"/>
    <w:rsid w:val="00B35122"/>
    <w:rsid w:val="00B45489"/>
    <w:rsid w:val="00B51CF4"/>
    <w:rsid w:val="00B55D0C"/>
    <w:rsid w:val="00B76B8E"/>
    <w:rsid w:val="00B8223D"/>
    <w:rsid w:val="00B9342D"/>
    <w:rsid w:val="00B94FC5"/>
    <w:rsid w:val="00B971CA"/>
    <w:rsid w:val="00BA38A8"/>
    <w:rsid w:val="00BA7D47"/>
    <w:rsid w:val="00BB2349"/>
    <w:rsid w:val="00BB3A21"/>
    <w:rsid w:val="00BC2DBB"/>
    <w:rsid w:val="00BD0630"/>
    <w:rsid w:val="00BD2202"/>
    <w:rsid w:val="00BD3510"/>
    <w:rsid w:val="00BD3EC9"/>
    <w:rsid w:val="00BE5CE9"/>
    <w:rsid w:val="00BF3502"/>
    <w:rsid w:val="00BF3680"/>
    <w:rsid w:val="00BF6275"/>
    <w:rsid w:val="00C07E6C"/>
    <w:rsid w:val="00C12BB5"/>
    <w:rsid w:val="00C12ED7"/>
    <w:rsid w:val="00C161C4"/>
    <w:rsid w:val="00C216DB"/>
    <w:rsid w:val="00C26267"/>
    <w:rsid w:val="00C4105B"/>
    <w:rsid w:val="00C477A4"/>
    <w:rsid w:val="00C52B68"/>
    <w:rsid w:val="00C5693A"/>
    <w:rsid w:val="00C60021"/>
    <w:rsid w:val="00C74F84"/>
    <w:rsid w:val="00C803C2"/>
    <w:rsid w:val="00C86CB7"/>
    <w:rsid w:val="00C92A3F"/>
    <w:rsid w:val="00C953C7"/>
    <w:rsid w:val="00C96E09"/>
    <w:rsid w:val="00CA0A6A"/>
    <w:rsid w:val="00CC274A"/>
    <w:rsid w:val="00CD31A3"/>
    <w:rsid w:val="00CE19CF"/>
    <w:rsid w:val="00CE3754"/>
    <w:rsid w:val="00CE3DA6"/>
    <w:rsid w:val="00D05758"/>
    <w:rsid w:val="00D13531"/>
    <w:rsid w:val="00D17B3B"/>
    <w:rsid w:val="00D21AE3"/>
    <w:rsid w:val="00D34648"/>
    <w:rsid w:val="00D40CA6"/>
    <w:rsid w:val="00D46238"/>
    <w:rsid w:val="00D635BA"/>
    <w:rsid w:val="00D70D56"/>
    <w:rsid w:val="00D91B2A"/>
    <w:rsid w:val="00D91E7A"/>
    <w:rsid w:val="00D94FE4"/>
    <w:rsid w:val="00DA1991"/>
    <w:rsid w:val="00DB0170"/>
    <w:rsid w:val="00DB176D"/>
    <w:rsid w:val="00DB23F4"/>
    <w:rsid w:val="00DC1DB5"/>
    <w:rsid w:val="00DC3537"/>
    <w:rsid w:val="00DD3725"/>
    <w:rsid w:val="00DE1654"/>
    <w:rsid w:val="00DE4F54"/>
    <w:rsid w:val="00DE6EC6"/>
    <w:rsid w:val="00DF33D0"/>
    <w:rsid w:val="00DF4D32"/>
    <w:rsid w:val="00E0037D"/>
    <w:rsid w:val="00E03C8C"/>
    <w:rsid w:val="00E10BA1"/>
    <w:rsid w:val="00E218CE"/>
    <w:rsid w:val="00E25902"/>
    <w:rsid w:val="00E31C38"/>
    <w:rsid w:val="00E345F0"/>
    <w:rsid w:val="00E3553C"/>
    <w:rsid w:val="00E422B7"/>
    <w:rsid w:val="00E44C1D"/>
    <w:rsid w:val="00E476D0"/>
    <w:rsid w:val="00E50AF3"/>
    <w:rsid w:val="00E52230"/>
    <w:rsid w:val="00E54230"/>
    <w:rsid w:val="00E56625"/>
    <w:rsid w:val="00E574B6"/>
    <w:rsid w:val="00E62C1E"/>
    <w:rsid w:val="00E7355E"/>
    <w:rsid w:val="00E75BCF"/>
    <w:rsid w:val="00E81C5E"/>
    <w:rsid w:val="00E85CA9"/>
    <w:rsid w:val="00E93829"/>
    <w:rsid w:val="00E95852"/>
    <w:rsid w:val="00E96E2D"/>
    <w:rsid w:val="00EB21A8"/>
    <w:rsid w:val="00EC12AB"/>
    <w:rsid w:val="00EC45F1"/>
    <w:rsid w:val="00ED2033"/>
    <w:rsid w:val="00ED2AA9"/>
    <w:rsid w:val="00EE064F"/>
    <w:rsid w:val="00EE0760"/>
    <w:rsid w:val="00EE33DC"/>
    <w:rsid w:val="00EE3723"/>
    <w:rsid w:val="00EE6589"/>
    <w:rsid w:val="00EF1842"/>
    <w:rsid w:val="00EF226B"/>
    <w:rsid w:val="00EF2CBB"/>
    <w:rsid w:val="00F0692C"/>
    <w:rsid w:val="00F0695D"/>
    <w:rsid w:val="00F2243E"/>
    <w:rsid w:val="00F41B10"/>
    <w:rsid w:val="00F41E9E"/>
    <w:rsid w:val="00F4530E"/>
    <w:rsid w:val="00F45CAD"/>
    <w:rsid w:val="00F45E65"/>
    <w:rsid w:val="00F51333"/>
    <w:rsid w:val="00F57B29"/>
    <w:rsid w:val="00F6322D"/>
    <w:rsid w:val="00F64B3F"/>
    <w:rsid w:val="00F66AF1"/>
    <w:rsid w:val="00F67486"/>
    <w:rsid w:val="00F701BB"/>
    <w:rsid w:val="00F75FB9"/>
    <w:rsid w:val="00F76D3F"/>
    <w:rsid w:val="00F8184C"/>
    <w:rsid w:val="00F87560"/>
    <w:rsid w:val="00F906A2"/>
    <w:rsid w:val="00FA05E5"/>
    <w:rsid w:val="00FB0468"/>
    <w:rsid w:val="00FB2A1E"/>
    <w:rsid w:val="00FB6BE8"/>
    <w:rsid w:val="00FC16CB"/>
    <w:rsid w:val="00FC211B"/>
    <w:rsid w:val="00FC3EEF"/>
    <w:rsid w:val="00FC60A8"/>
    <w:rsid w:val="00FD0C8B"/>
    <w:rsid w:val="00FD0FAA"/>
    <w:rsid w:val="00FD4878"/>
    <w:rsid w:val="00FD4E52"/>
    <w:rsid w:val="00FD6575"/>
    <w:rsid w:val="00FE3EEB"/>
    <w:rsid w:val="00FE7708"/>
    <w:rsid w:val="00FF0403"/>
    <w:rsid w:val="00FF4138"/>
    <w:rsid w:val="00FF471F"/>
    <w:rsid w:val="01145609"/>
    <w:rsid w:val="0167398B"/>
    <w:rsid w:val="01C54B55"/>
    <w:rsid w:val="01CC56FC"/>
    <w:rsid w:val="0344610A"/>
    <w:rsid w:val="035D445C"/>
    <w:rsid w:val="03AE3AF3"/>
    <w:rsid w:val="043F0BEF"/>
    <w:rsid w:val="044F6409"/>
    <w:rsid w:val="04E27999"/>
    <w:rsid w:val="05386892"/>
    <w:rsid w:val="056401E1"/>
    <w:rsid w:val="090F3D0E"/>
    <w:rsid w:val="09296B5B"/>
    <w:rsid w:val="096054E2"/>
    <w:rsid w:val="0A39126B"/>
    <w:rsid w:val="0AFA761E"/>
    <w:rsid w:val="0C031808"/>
    <w:rsid w:val="0C8F1EA3"/>
    <w:rsid w:val="0C9910B8"/>
    <w:rsid w:val="104D4694"/>
    <w:rsid w:val="10BB47E2"/>
    <w:rsid w:val="11010E3A"/>
    <w:rsid w:val="117A1659"/>
    <w:rsid w:val="124F0748"/>
    <w:rsid w:val="130322F0"/>
    <w:rsid w:val="138A52B7"/>
    <w:rsid w:val="13B660AC"/>
    <w:rsid w:val="13C27D84"/>
    <w:rsid w:val="156F0C08"/>
    <w:rsid w:val="167364D6"/>
    <w:rsid w:val="174F2A9F"/>
    <w:rsid w:val="1767603B"/>
    <w:rsid w:val="180F174A"/>
    <w:rsid w:val="19C57049"/>
    <w:rsid w:val="1B092618"/>
    <w:rsid w:val="1BDD5CC2"/>
    <w:rsid w:val="1C2E34FE"/>
    <w:rsid w:val="1CA078F9"/>
    <w:rsid w:val="1D095F8D"/>
    <w:rsid w:val="1D8217C2"/>
    <w:rsid w:val="1E435A7D"/>
    <w:rsid w:val="1E9719E5"/>
    <w:rsid w:val="1EC376D9"/>
    <w:rsid w:val="1F8B4890"/>
    <w:rsid w:val="1FBE5ACF"/>
    <w:rsid w:val="207C4233"/>
    <w:rsid w:val="20B120D5"/>
    <w:rsid w:val="21157FBA"/>
    <w:rsid w:val="23005595"/>
    <w:rsid w:val="23C87D39"/>
    <w:rsid w:val="246833F2"/>
    <w:rsid w:val="249935AC"/>
    <w:rsid w:val="24AF4B7D"/>
    <w:rsid w:val="250542DB"/>
    <w:rsid w:val="25F31D23"/>
    <w:rsid w:val="2605353A"/>
    <w:rsid w:val="263D670F"/>
    <w:rsid w:val="26695200"/>
    <w:rsid w:val="283825D3"/>
    <w:rsid w:val="285C501C"/>
    <w:rsid w:val="28E514B5"/>
    <w:rsid w:val="295938E3"/>
    <w:rsid w:val="29CD1DE5"/>
    <w:rsid w:val="2A1A0CEB"/>
    <w:rsid w:val="2A44644C"/>
    <w:rsid w:val="2A8645D2"/>
    <w:rsid w:val="2BF230D0"/>
    <w:rsid w:val="2D7352E2"/>
    <w:rsid w:val="2DC378EB"/>
    <w:rsid w:val="2DFE0117"/>
    <w:rsid w:val="2E6D4CAE"/>
    <w:rsid w:val="2EC9746A"/>
    <w:rsid w:val="2EE47B19"/>
    <w:rsid w:val="2F5F1A3A"/>
    <w:rsid w:val="2F8512FC"/>
    <w:rsid w:val="2FBD1AC5"/>
    <w:rsid w:val="2FC21522"/>
    <w:rsid w:val="30077F63"/>
    <w:rsid w:val="303B2FC5"/>
    <w:rsid w:val="320E2E16"/>
    <w:rsid w:val="3221486C"/>
    <w:rsid w:val="32B02573"/>
    <w:rsid w:val="32F25C3D"/>
    <w:rsid w:val="338A5D7B"/>
    <w:rsid w:val="340645C7"/>
    <w:rsid w:val="3431558E"/>
    <w:rsid w:val="3438654E"/>
    <w:rsid w:val="346C30F8"/>
    <w:rsid w:val="34863603"/>
    <w:rsid w:val="367C52D9"/>
    <w:rsid w:val="36C070BE"/>
    <w:rsid w:val="373A6E70"/>
    <w:rsid w:val="37A70320"/>
    <w:rsid w:val="37B47B26"/>
    <w:rsid w:val="392D2ACB"/>
    <w:rsid w:val="396060B9"/>
    <w:rsid w:val="399B34CA"/>
    <w:rsid w:val="3A03112B"/>
    <w:rsid w:val="3AC24284"/>
    <w:rsid w:val="3ADC7B50"/>
    <w:rsid w:val="3B2A4882"/>
    <w:rsid w:val="3C595532"/>
    <w:rsid w:val="3EC817D9"/>
    <w:rsid w:val="3F3643C1"/>
    <w:rsid w:val="404762E8"/>
    <w:rsid w:val="41E422BC"/>
    <w:rsid w:val="43FE2FD4"/>
    <w:rsid w:val="4409637D"/>
    <w:rsid w:val="44510A00"/>
    <w:rsid w:val="45252F0E"/>
    <w:rsid w:val="4541257C"/>
    <w:rsid w:val="466A52A0"/>
    <w:rsid w:val="46BB3C92"/>
    <w:rsid w:val="47A3636C"/>
    <w:rsid w:val="47EC3EEF"/>
    <w:rsid w:val="48084421"/>
    <w:rsid w:val="4835711A"/>
    <w:rsid w:val="48777D12"/>
    <w:rsid w:val="48953236"/>
    <w:rsid w:val="48F14EB5"/>
    <w:rsid w:val="49D24CE6"/>
    <w:rsid w:val="4A7A507A"/>
    <w:rsid w:val="4A917942"/>
    <w:rsid w:val="4C2524E7"/>
    <w:rsid w:val="4C89360D"/>
    <w:rsid w:val="4CB537A8"/>
    <w:rsid w:val="4CEE22C9"/>
    <w:rsid w:val="4D063625"/>
    <w:rsid w:val="4D66008C"/>
    <w:rsid w:val="4DDA66D5"/>
    <w:rsid w:val="4F3D0E54"/>
    <w:rsid w:val="4F834D4C"/>
    <w:rsid w:val="4F912F4E"/>
    <w:rsid w:val="4FA34F21"/>
    <w:rsid w:val="4FAE27D9"/>
    <w:rsid w:val="50035C66"/>
    <w:rsid w:val="5066591C"/>
    <w:rsid w:val="507702BE"/>
    <w:rsid w:val="50E7376D"/>
    <w:rsid w:val="51002139"/>
    <w:rsid w:val="5328687F"/>
    <w:rsid w:val="5379340C"/>
    <w:rsid w:val="53944F39"/>
    <w:rsid w:val="53AA4F75"/>
    <w:rsid w:val="54A159E1"/>
    <w:rsid w:val="55185C0D"/>
    <w:rsid w:val="55AE6607"/>
    <w:rsid w:val="575516E1"/>
    <w:rsid w:val="57E11CAD"/>
    <w:rsid w:val="57EF1A7A"/>
    <w:rsid w:val="58026F85"/>
    <w:rsid w:val="58705DF6"/>
    <w:rsid w:val="589579DA"/>
    <w:rsid w:val="5CA442C0"/>
    <w:rsid w:val="5CFC780B"/>
    <w:rsid w:val="5F3009E4"/>
    <w:rsid w:val="5F591931"/>
    <w:rsid w:val="6109503A"/>
    <w:rsid w:val="62836BFD"/>
    <w:rsid w:val="63701BA4"/>
    <w:rsid w:val="64743CA2"/>
    <w:rsid w:val="651B358E"/>
    <w:rsid w:val="6681007D"/>
    <w:rsid w:val="66997B66"/>
    <w:rsid w:val="689F5EDB"/>
    <w:rsid w:val="69205616"/>
    <w:rsid w:val="69495C72"/>
    <w:rsid w:val="696C3AA1"/>
    <w:rsid w:val="697E6FC0"/>
    <w:rsid w:val="69922ABE"/>
    <w:rsid w:val="69C02956"/>
    <w:rsid w:val="6A4E7F61"/>
    <w:rsid w:val="6B27617D"/>
    <w:rsid w:val="6D0112BB"/>
    <w:rsid w:val="6FE80510"/>
    <w:rsid w:val="70EE19F1"/>
    <w:rsid w:val="7243048B"/>
    <w:rsid w:val="72F83160"/>
    <w:rsid w:val="72FD747D"/>
    <w:rsid w:val="73124222"/>
    <w:rsid w:val="73373C88"/>
    <w:rsid w:val="744D4DE6"/>
    <w:rsid w:val="75EA7090"/>
    <w:rsid w:val="75F95225"/>
    <w:rsid w:val="76D67694"/>
    <w:rsid w:val="77EB2B14"/>
    <w:rsid w:val="78C94EBB"/>
    <w:rsid w:val="78F63C9E"/>
    <w:rsid w:val="79200D1B"/>
    <w:rsid w:val="7A1E4029"/>
    <w:rsid w:val="7A9279F6"/>
    <w:rsid w:val="7CFF4705"/>
    <w:rsid w:val="7D060228"/>
    <w:rsid w:val="7E3641FA"/>
    <w:rsid w:val="7EFF46EC"/>
    <w:rsid w:val="7F4D0390"/>
    <w:rsid w:val="7F7B6E06"/>
    <w:rsid w:val="7FA95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kinsoku/>
      <w:wordWrap/>
      <w:overflowPunct/>
      <w:topLinePunct w:val="0"/>
      <w:autoSpaceDE w:val="0"/>
      <w:autoSpaceDN w:val="0"/>
      <w:bidi w:val="0"/>
      <w:adjustRightInd/>
      <w:snapToGrid/>
      <w:spacing w:line="360" w:lineRule="auto"/>
      <w:ind w:firstLine="600" w:firstLineChars="200"/>
      <w:jc w:val="both"/>
      <w:textAlignment w:val="auto"/>
    </w:pPr>
    <w:rPr>
      <w:rFonts w:ascii="Times New Roman" w:hAnsi="Times New Roman" w:eastAsia="宋体" w:cs="Times New Roman"/>
      <w:color w:val="000000" w:themeColor="text1"/>
      <w:sz w:val="28"/>
      <w:szCs w:val="28"/>
      <w:lang w:val="en-US" w:eastAsia="zh-CN" w:bidi="ar-SA"/>
      <w14:textFill>
        <w14:solidFill>
          <w14:schemeClr w14:val="tx1"/>
        </w14:solidFill>
      </w14:textFill>
    </w:rPr>
  </w:style>
  <w:style w:type="paragraph" w:styleId="2">
    <w:name w:val="heading 1"/>
    <w:basedOn w:val="1"/>
    <w:next w:val="1"/>
    <w:link w:val="26"/>
    <w:qFormat/>
    <w:uiPriority w:val="9"/>
    <w:pPr>
      <w:keepNext/>
      <w:keepLines/>
      <w:ind w:firstLine="0" w:firstLineChars="0"/>
      <w:jc w:val="left"/>
      <w:outlineLvl w:val="0"/>
    </w:pPr>
    <w:rPr>
      <w:rFonts w:ascii="Times New Roman" w:hAnsi="Times New Roman" w:eastAsia="黑体" w:cstheme="majorBidi"/>
      <w:kern w:val="32"/>
      <w:sz w:val="32"/>
      <w:szCs w:val="44"/>
    </w:rPr>
  </w:style>
  <w:style w:type="paragraph" w:styleId="3">
    <w:name w:val="heading 2"/>
    <w:basedOn w:val="1"/>
    <w:next w:val="1"/>
    <w:link w:val="29"/>
    <w:unhideWhenUsed/>
    <w:qFormat/>
    <w:uiPriority w:val="9"/>
    <w:pPr>
      <w:keepNext/>
      <w:keepLines/>
      <w:autoSpaceDE/>
      <w:autoSpaceDN/>
      <w:spacing w:before="120" w:after="120"/>
      <w:ind w:firstLine="0" w:firstLineChars="0"/>
      <w:jc w:val="left"/>
      <w:outlineLvl w:val="1"/>
    </w:pPr>
    <w:rPr>
      <w:rFonts w:ascii="Times New Roman" w:hAnsi="Times New Roman" w:cstheme="majorBidi"/>
      <w:b/>
      <w:bCs/>
      <w:szCs w:val="32"/>
    </w:rPr>
  </w:style>
  <w:style w:type="paragraph" w:styleId="4">
    <w:name w:val="heading 3"/>
    <w:basedOn w:val="1"/>
    <w:next w:val="1"/>
    <w:link w:val="36"/>
    <w:unhideWhenUsed/>
    <w:qFormat/>
    <w:uiPriority w:val="9"/>
    <w:pPr>
      <w:keepNext/>
      <w:keepLines/>
      <w:spacing w:line="360" w:lineRule="auto"/>
      <w:ind w:firstLine="0" w:firstLineChars="0"/>
      <w:outlineLvl w:val="2"/>
    </w:pPr>
    <w:rPr>
      <w:rFonts w:ascii="Times New Roman" w:hAnsi="Times New Roman"/>
      <w:b/>
      <w:bCs/>
      <w:sz w:val="28"/>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caption"/>
    <w:basedOn w:val="1"/>
    <w:next w:val="1"/>
    <w:unhideWhenUsed/>
    <w:qFormat/>
    <w:uiPriority w:val="35"/>
    <w:pPr>
      <w:spacing w:line="240" w:lineRule="auto"/>
      <w:ind w:firstLine="0" w:firstLineChars="0"/>
      <w:jc w:val="center"/>
    </w:pPr>
    <w:rPr>
      <w:rFonts w:cstheme="majorBidi"/>
      <w:sz w:val="21"/>
      <w:szCs w:val="20"/>
    </w:rPr>
  </w:style>
  <w:style w:type="paragraph" w:styleId="7">
    <w:name w:val="annotation text"/>
    <w:basedOn w:val="1"/>
    <w:link w:val="31"/>
    <w:unhideWhenUsed/>
    <w:qFormat/>
    <w:uiPriority w:val="99"/>
  </w:style>
  <w:style w:type="paragraph" w:styleId="8">
    <w:name w:val="Body Text"/>
    <w:basedOn w:val="1"/>
    <w:link w:val="25"/>
    <w:qFormat/>
    <w:uiPriority w:val="1"/>
    <w:rPr>
      <w:szCs w:val="30"/>
    </w:rPr>
  </w:style>
  <w:style w:type="paragraph" w:styleId="9">
    <w:name w:val="Body Text Indent"/>
    <w:basedOn w:val="1"/>
    <w:next w:val="5"/>
    <w:qFormat/>
    <w:uiPriority w:val="0"/>
    <w:pPr>
      <w:spacing w:after="120"/>
      <w:ind w:left="200" w:leftChars="200"/>
    </w:pPr>
  </w:style>
  <w:style w:type="paragraph" w:styleId="10">
    <w:name w:val="toc 3"/>
    <w:basedOn w:val="1"/>
    <w:next w:val="1"/>
    <w:unhideWhenUsed/>
    <w:qFormat/>
    <w:uiPriority w:val="39"/>
    <w:pPr>
      <w:widowControl/>
      <w:autoSpaceDE/>
      <w:autoSpaceDN/>
      <w:spacing w:after="100" w:line="259" w:lineRule="auto"/>
      <w:ind w:left="440"/>
    </w:pPr>
    <w:rPr>
      <w:rFonts w:cs="Times New Roman" w:asciiTheme="minorHAnsi" w:hAnsiTheme="minorHAnsi" w:eastAsiaTheme="minorEastAsia"/>
      <w:lang w:eastAsia="zh-CN"/>
    </w:rPr>
  </w:style>
  <w:style w:type="paragraph" w:styleId="11">
    <w:name w:val="footer"/>
    <w:basedOn w:val="1"/>
    <w:link w:val="33"/>
    <w:unhideWhenUsed/>
    <w:qFormat/>
    <w:uiPriority w:val="99"/>
    <w:pPr>
      <w:tabs>
        <w:tab w:val="center" w:pos="4153"/>
        <w:tab w:val="right" w:pos="8306"/>
      </w:tabs>
      <w:snapToGrid w:val="0"/>
    </w:pPr>
    <w:rPr>
      <w:sz w:val="18"/>
      <w:szCs w:val="18"/>
    </w:rPr>
  </w:style>
  <w:style w:type="paragraph" w:styleId="12">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autoSpaceDE/>
      <w:autoSpaceDN/>
    </w:pPr>
    <w:rPr>
      <w:rFonts w:cs="Times New Roman" w:asciiTheme="minorHAnsi" w:hAnsiTheme="minorHAnsi"/>
      <w:b/>
      <w:lang w:eastAsia="zh-CN"/>
    </w:rPr>
  </w:style>
  <w:style w:type="paragraph" w:styleId="14">
    <w:name w:val="toc 2"/>
    <w:basedOn w:val="1"/>
    <w:next w:val="1"/>
    <w:unhideWhenUsed/>
    <w:qFormat/>
    <w:uiPriority w:val="39"/>
    <w:pPr>
      <w:widowControl/>
      <w:autoSpaceDE/>
      <w:autoSpaceDN/>
      <w:ind w:left="221"/>
    </w:pPr>
    <w:rPr>
      <w:rFonts w:cs="Times New Roman" w:asciiTheme="minorHAnsi" w:hAnsiTheme="minorHAnsi"/>
      <w:lang w:eastAsia="zh-CN"/>
    </w:rPr>
  </w:style>
  <w:style w:type="paragraph" w:styleId="15">
    <w:name w:val="Normal (Web)"/>
    <w:basedOn w:val="1"/>
    <w:unhideWhenUsed/>
    <w:qFormat/>
    <w:uiPriority w:val="99"/>
  </w:style>
  <w:style w:type="paragraph" w:styleId="16">
    <w:name w:val="Title"/>
    <w:basedOn w:val="1"/>
    <w:next w:val="1"/>
    <w:link w:val="28"/>
    <w:qFormat/>
    <w:uiPriority w:val="10"/>
    <w:pPr>
      <w:spacing w:before="240" w:after="60"/>
      <w:jc w:val="center"/>
      <w:outlineLvl w:val="0"/>
    </w:pPr>
    <w:rPr>
      <w:rFonts w:asciiTheme="majorHAnsi" w:hAnsiTheme="majorHAnsi" w:eastAsiaTheme="majorEastAsia" w:cstheme="majorBidi"/>
      <w:b/>
      <w:bCs/>
      <w:sz w:val="32"/>
      <w:szCs w:val="32"/>
    </w:rPr>
  </w:style>
  <w:style w:type="paragraph" w:styleId="17">
    <w:name w:val="Body Text First Indent"/>
    <w:basedOn w:val="8"/>
    <w:qFormat/>
    <w:uiPriority w:val="0"/>
    <w:pPr>
      <w:ind w:firstLine="420" w:firstLineChars="100"/>
    </w:pPr>
  </w:style>
  <w:style w:type="paragraph" w:styleId="18">
    <w:name w:val="Body Text First Indent 2"/>
    <w:basedOn w:val="9"/>
    <w:next w:val="1"/>
    <w:qFormat/>
    <w:uiPriority w:val="0"/>
    <w:pPr>
      <w:ind w:firstLine="200" w:firstLineChars="200"/>
    </w:pPr>
    <w:rPr>
      <w:rFonts w:eastAsia="仿宋_GB2312"/>
      <w:sz w:val="32"/>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character" w:styleId="24">
    <w:name w:val="annotation reference"/>
    <w:basedOn w:val="21"/>
    <w:semiHidden/>
    <w:unhideWhenUsed/>
    <w:qFormat/>
    <w:uiPriority w:val="99"/>
    <w:rPr>
      <w:sz w:val="21"/>
      <w:szCs w:val="21"/>
    </w:rPr>
  </w:style>
  <w:style w:type="character" w:customStyle="1" w:styleId="25">
    <w:name w:val="正文文本 字符"/>
    <w:basedOn w:val="21"/>
    <w:link w:val="8"/>
    <w:qFormat/>
    <w:uiPriority w:val="1"/>
    <w:rPr>
      <w:rFonts w:ascii="宋体" w:hAnsi="宋体" w:eastAsia="宋体" w:cs="宋体"/>
      <w:kern w:val="0"/>
      <w:sz w:val="30"/>
      <w:szCs w:val="30"/>
      <w:lang w:eastAsia="en-US"/>
    </w:rPr>
  </w:style>
  <w:style w:type="character" w:customStyle="1" w:styleId="26">
    <w:name w:val="标题 1 字符"/>
    <w:basedOn w:val="21"/>
    <w:link w:val="2"/>
    <w:qFormat/>
    <w:uiPriority w:val="9"/>
    <w:rPr>
      <w:rFonts w:ascii="Times New Roman" w:hAnsi="Times New Roman" w:eastAsia="黑体" w:cstheme="majorBidi"/>
      <w:kern w:val="32"/>
      <w:sz w:val="32"/>
      <w:szCs w:val="44"/>
      <w:lang w:eastAsia="en-US"/>
    </w:rPr>
  </w:style>
  <w:style w:type="paragraph" w:customStyle="1" w:styleId="27">
    <w:name w:val="TOC 标题1"/>
    <w:basedOn w:val="2"/>
    <w:next w:val="1"/>
    <w:unhideWhenUsed/>
    <w:qFormat/>
    <w:uiPriority w:val="39"/>
    <w:pPr>
      <w:widowControl/>
      <w:autoSpaceDE/>
      <w:autoSpaceDN/>
      <w:spacing w:before="240" w:line="259" w:lineRule="auto"/>
      <w:outlineLvl w:val="9"/>
    </w:pPr>
    <w:rPr>
      <w:rFonts w:asciiTheme="majorHAnsi" w:hAnsiTheme="majorHAnsi" w:eastAsiaTheme="majorEastAsia"/>
      <w:bCs/>
      <w:color w:val="2F5597" w:themeColor="accent1" w:themeShade="BF"/>
      <w:kern w:val="0"/>
      <w:sz w:val="32"/>
      <w:szCs w:val="32"/>
      <w:lang w:eastAsia="zh-CN"/>
    </w:rPr>
  </w:style>
  <w:style w:type="character" w:customStyle="1" w:styleId="28">
    <w:name w:val="标题 字符"/>
    <w:basedOn w:val="21"/>
    <w:link w:val="16"/>
    <w:qFormat/>
    <w:uiPriority w:val="10"/>
    <w:rPr>
      <w:rFonts w:asciiTheme="majorHAnsi" w:hAnsiTheme="majorHAnsi" w:eastAsiaTheme="majorEastAsia" w:cstheme="majorBidi"/>
      <w:b/>
      <w:bCs/>
      <w:kern w:val="0"/>
      <w:sz w:val="32"/>
      <w:szCs w:val="32"/>
      <w:lang w:eastAsia="en-US"/>
    </w:rPr>
  </w:style>
  <w:style w:type="character" w:customStyle="1" w:styleId="29">
    <w:name w:val="标题 2 字符"/>
    <w:basedOn w:val="21"/>
    <w:link w:val="3"/>
    <w:qFormat/>
    <w:uiPriority w:val="9"/>
    <w:rPr>
      <w:rFonts w:ascii="Times New Roman" w:hAnsi="Times New Roman" w:eastAsia="仿宋_GB2312" w:cstheme="majorBidi"/>
      <w:b/>
      <w:bCs/>
      <w:sz w:val="30"/>
      <w:szCs w:val="32"/>
      <w:lang w:eastAsia="en-US"/>
    </w:rPr>
  </w:style>
  <w:style w:type="table" w:customStyle="1" w:styleId="30">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31">
    <w:name w:val="批注文字 字符"/>
    <w:basedOn w:val="21"/>
    <w:link w:val="7"/>
    <w:qFormat/>
    <w:uiPriority w:val="99"/>
    <w:rPr>
      <w:rFonts w:ascii="宋体" w:hAnsi="宋体" w:eastAsia="宋体" w:cs="宋体"/>
      <w:kern w:val="0"/>
      <w:sz w:val="22"/>
      <w:lang w:eastAsia="en-US"/>
    </w:rPr>
  </w:style>
  <w:style w:type="character" w:customStyle="1" w:styleId="32">
    <w:name w:val="页眉 字符"/>
    <w:basedOn w:val="21"/>
    <w:link w:val="12"/>
    <w:qFormat/>
    <w:uiPriority w:val="99"/>
    <w:rPr>
      <w:rFonts w:ascii="宋体" w:hAnsi="宋体" w:eastAsia="宋体" w:cs="宋体"/>
      <w:kern w:val="0"/>
      <w:sz w:val="18"/>
      <w:szCs w:val="18"/>
      <w:lang w:eastAsia="en-US"/>
    </w:rPr>
  </w:style>
  <w:style w:type="character" w:customStyle="1" w:styleId="33">
    <w:name w:val="页脚 字符"/>
    <w:basedOn w:val="21"/>
    <w:link w:val="11"/>
    <w:qFormat/>
    <w:uiPriority w:val="99"/>
    <w:rPr>
      <w:rFonts w:ascii="宋体" w:hAnsi="宋体" w:eastAsia="宋体" w:cs="宋体"/>
      <w:kern w:val="0"/>
      <w:sz w:val="18"/>
      <w:szCs w:val="18"/>
      <w:lang w:eastAsia="en-US"/>
    </w:rPr>
  </w:style>
  <w:style w:type="paragraph" w:customStyle="1" w:styleId="34">
    <w:name w:val="样式1"/>
    <w:basedOn w:val="1"/>
    <w:link w:val="35"/>
    <w:qFormat/>
    <w:uiPriority w:val="0"/>
    <w:pPr>
      <w:spacing w:line="240" w:lineRule="auto"/>
      <w:ind w:firstLine="0" w:firstLineChars="0"/>
      <w:jc w:val="center"/>
    </w:pPr>
    <w:rPr>
      <w:sz w:val="21"/>
      <w:lang w:eastAsia="zh-CN"/>
    </w:rPr>
  </w:style>
  <w:style w:type="character" w:customStyle="1" w:styleId="35">
    <w:name w:val="样式1 Char"/>
    <w:basedOn w:val="21"/>
    <w:link w:val="34"/>
    <w:qFormat/>
    <w:uiPriority w:val="0"/>
    <w:rPr>
      <w:rFonts w:ascii="Times New Roman" w:hAnsi="Times New Roman" w:eastAsia="仿宋" w:cs="宋体"/>
      <w:sz w:val="21"/>
      <w:szCs w:val="22"/>
    </w:rPr>
  </w:style>
  <w:style w:type="character" w:customStyle="1" w:styleId="36">
    <w:name w:val="标题 3 字符"/>
    <w:basedOn w:val="21"/>
    <w:link w:val="4"/>
    <w:qFormat/>
    <w:uiPriority w:val="9"/>
    <w:rPr>
      <w:rFonts w:ascii="Times New Roman" w:hAnsi="Times New Roman" w:eastAsia="仿宋_GB2312" w:cs="宋体"/>
      <w:b/>
      <w:bCs/>
      <w:sz w:val="28"/>
      <w:szCs w:val="32"/>
      <w:lang w:eastAsia="en-US"/>
    </w:rPr>
  </w:style>
  <w:style w:type="paragraph" w:customStyle="1" w:styleId="37">
    <w:name w:val="样式2"/>
    <w:basedOn w:val="1"/>
    <w:next w:val="1"/>
    <w:qFormat/>
    <w:uiPriority w:val="0"/>
    <w:pPr>
      <w:autoSpaceDE/>
      <w:autoSpaceDN/>
      <w:spacing w:line="240" w:lineRule="auto"/>
      <w:ind w:firstLine="0" w:firstLineChars="0"/>
      <w:jc w:val="center"/>
    </w:pPr>
    <w:rPr>
      <w:rFonts w:cs="Times New Roman"/>
      <w:kern w:val="2"/>
      <w:lang w:eastAsia="zh-CN"/>
    </w:rPr>
  </w:style>
  <w:style w:type="paragraph" w:customStyle="1" w:styleId="38">
    <w:name w:val="图表"/>
    <w:basedOn w:val="1"/>
    <w:link w:val="39"/>
    <w:qFormat/>
    <w:uiPriority w:val="0"/>
    <w:pPr>
      <w:autoSpaceDE/>
      <w:autoSpaceDN/>
      <w:spacing w:line="240" w:lineRule="auto"/>
      <w:ind w:firstLine="0" w:firstLineChars="0"/>
      <w:jc w:val="center"/>
    </w:pPr>
    <w:rPr>
      <w:bCs/>
      <w:szCs w:val="28"/>
      <w:lang w:eastAsia="zh-CN"/>
    </w:rPr>
  </w:style>
  <w:style w:type="character" w:customStyle="1" w:styleId="39">
    <w:name w:val="图表 Char"/>
    <w:basedOn w:val="21"/>
    <w:link w:val="38"/>
    <w:qFormat/>
    <w:uiPriority w:val="0"/>
    <w:rPr>
      <w:rFonts w:ascii="Times New Roman" w:hAnsi="Times New Roman" w:eastAsia="仿宋" w:cs="宋体"/>
      <w:bCs/>
      <w:sz w:val="24"/>
      <w:szCs w:val="28"/>
    </w:rPr>
  </w:style>
  <w:style w:type="paragraph" w:customStyle="1" w:styleId="40">
    <w:name w:val="修订1"/>
    <w:hidden/>
    <w:semiHidden/>
    <w:qFormat/>
    <w:uiPriority w:val="99"/>
    <w:rPr>
      <w:rFonts w:ascii="Times New Roman" w:hAnsi="Times New Roman" w:eastAsia="仿宋_GB2312" w:cs="宋体"/>
      <w:sz w:val="30"/>
      <w:szCs w:val="22"/>
      <w:lang w:val="en-US" w:eastAsia="en-US" w:bidi="ar-SA"/>
    </w:rPr>
  </w:style>
  <w:style w:type="paragraph" w:styleId="41">
    <w:name w:val="List Paragraph"/>
    <w:basedOn w:val="1"/>
    <w:qFormat/>
    <w:uiPriority w:val="99"/>
    <w:pPr>
      <w:ind w:firstLine="420"/>
    </w:p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WPSOffice手动目录 3"/>
    <w:qFormat/>
    <w:uiPriority w:val="0"/>
    <w:pPr>
      <w:ind w:leftChars="400"/>
    </w:pPr>
    <w:rPr>
      <w:rFonts w:ascii="Times New Roman" w:hAnsi="Times New Roman" w:eastAsia="宋体" w:cs="Times New Roman"/>
      <w:sz w:val="20"/>
      <w:szCs w:val="20"/>
    </w:rPr>
  </w:style>
  <w:style w:type="paragraph" w:customStyle="1" w:styleId="45">
    <w:name w:val="Default"/>
    <w:qFormat/>
    <w:uiPriority w:val="0"/>
    <w:pPr>
      <w:widowControl w:val="0"/>
      <w:autoSpaceDE w:val="0"/>
      <w:autoSpaceDN w:val="0"/>
      <w:adjustRightInd w:val="0"/>
    </w:pPr>
    <w:rPr>
      <w:rFonts w:ascii="楷体_GB2312" w:hAnsi="Calibri" w:eastAsia="楷体_GB2312" w:cs="楷体_GB2312"/>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086F81-633E-425D-9810-B47299365C1C}">
  <ds:schemaRefs/>
</ds:datastoreItem>
</file>

<file path=docProps/app.xml><?xml version="1.0" encoding="utf-8"?>
<Properties xmlns="http://schemas.openxmlformats.org/officeDocument/2006/extended-properties" xmlns:vt="http://schemas.openxmlformats.org/officeDocument/2006/docPropsVTypes">
  <Template>Normal</Template>
  <Pages>22</Pages>
  <Words>3849</Words>
  <Characters>4095</Characters>
  <Lines>143</Lines>
  <Paragraphs>40</Paragraphs>
  <TotalTime>20</TotalTime>
  <ScaleCrop>false</ScaleCrop>
  <LinksUpToDate>false</LinksUpToDate>
  <CharactersWithSpaces>4349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2022-08-07T12:07:00Z</dcterms:created>
  <dc:creator>杨 孔平</dc:creator>
  <cp:lastModifiedBy>邓</cp:lastModifiedBy>
  <dcterms:modified xsi:type="dcterms:W3CDTF">2026-09-11T14:53:08Z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77D371A975B242B9BDA9B6FF2432EE21_13</vt:lpwstr>
  </property>
  <property fmtid="{D5CDD505-2E9C-101B-9397-08002B2CF9AE}" pid="4" name="KSOTemplateDocerSaveRecord">
    <vt:lpwstr>eyJoZGlkIjoiOWEzMTM5NWU5NDJlMzEwZGIwNDlmNjQ4N2EzYmQyNzciLCJ1c2VySWQiOiI1MjQ3MDA3ODUifQ==</vt:lpwstr>
  </property>
</Properties>
</file>